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14" w:type="dxa"/>
        <w:jc w:val="center"/>
        <w:tblBorders>
          <w:top w:val="single" w:sz="4" w:space="0" w:color="365F91"/>
          <w:bottom w:val="single" w:sz="4" w:space="0" w:color="365F91"/>
          <w:insideH w:val="single" w:sz="4" w:space="0" w:color="365F91"/>
        </w:tblBorders>
        <w:tblLayout w:type="fixed"/>
        <w:tblLook w:val="0000" w:firstRow="0" w:lastRow="0" w:firstColumn="0" w:lastColumn="0" w:noHBand="0" w:noVBand="0"/>
      </w:tblPr>
      <w:tblGrid>
        <w:gridCol w:w="67"/>
        <w:gridCol w:w="3092"/>
        <w:gridCol w:w="280"/>
        <w:gridCol w:w="1243"/>
        <w:gridCol w:w="1453"/>
        <w:gridCol w:w="430"/>
        <w:gridCol w:w="21"/>
        <w:gridCol w:w="3039"/>
        <w:gridCol w:w="365"/>
        <w:gridCol w:w="24"/>
      </w:tblGrid>
      <w:tr w:rsidR="001E4776" w:rsidRPr="00A02E13" w14:paraId="4E361A38" w14:textId="77777777" w:rsidTr="000D76F8">
        <w:trPr>
          <w:tblHeader/>
          <w:jc w:val="center"/>
        </w:trPr>
        <w:tc>
          <w:tcPr>
            <w:tcW w:w="10014" w:type="dxa"/>
            <w:gridSpan w:val="10"/>
            <w:shd w:val="clear" w:color="auto" w:fill="17365D"/>
            <w:noWrap/>
          </w:tcPr>
          <w:p w14:paraId="7951B267" w14:textId="77777777" w:rsidR="001E4776" w:rsidRPr="001E4776" w:rsidRDefault="001E4776" w:rsidP="001E4776">
            <w:pPr>
              <w:spacing w:before="40" w:after="40"/>
              <w:ind w:left="1357" w:hanging="1357"/>
              <w:rPr>
                <w:rFonts w:cs="Calibri"/>
                <w:b/>
                <w:color w:val="FFFFFF"/>
                <w:sz w:val="18"/>
                <w:szCs w:val="18"/>
              </w:rPr>
            </w:pPr>
            <w:r w:rsidRPr="001E4776">
              <w:rPr>
                <w:rFonts w:cs="Calibri"/>
                <w:b/>
                <w:color w:val="FFFFFF"/>
                <w:sz w:val="18"/>
                <w:szCs w:val="18"/>
              </w:rPr>
              <w:t>MHS PI 16: Aspects of recovery for children and adolescents according to parents/carers</w:t>
            </w:r>
          </w:p>
        </w:tc>
      </w:tr>
      <w:tr w:rsidR="001E4776" w:rsidRPr="00A02E13" w14:paraId="62813DA9" w14:textId="77777777" w:rsidTr="000D76F8">
        <w:trPr>
          <w:jc w:val="center"/>
        </w:trPr>
        <w:tc>
          <w:tcPr>
            <w:tcW w:w="3159" w:type="dxa"/>
            <w:gridSpan w:val="2"/>
            <w:noWrap/>
          </w:tcPr>
          <w:p w14:paraId="0C98B97A" w14:textId="77777777" w:rsidR="001E4776" w:rsidRPr="00A02E13" w:rsidRDefault="001E4776" w:rsidP="000D76F8">
            <w:pPr>
              <w:spacing w:before="40" w:after="40"/>
              <w:rPr>
                <w:rFonts w:cs="Calibri"/>
                <w:b/>
                <w:sz w:val="18"/>
                <w:szCs w:val="18"/>
              </w:rPr>
            </w:pPr>
            <w:r w:rsidRPr="00A02E13">
              <w:rPr>
                <w:rFonts w:cs="Calibri"/>
                <w:b/>
                <w:sz w:val="18"/>
                <w:szCs w:val="18"/>
              </w:rPr>
              <w:t>Rationale</w:t>
            </w:r>
          </w:p>
        </w:tc>
        <w:tc>
          <w:tcPr>
            <w:tcW w:w="6855" w:type="dxa"/>
            <w:gridSpan w:val="8"/>
          </w:tcPr>
          <w:p w14:paraId="5A103CB5" w14:textId="77777777" w:rsidR="001E4776" w:rsidRPr="00A02E13" w:rsidRDefault="001E4776" w:rsidP="000D76F8">
            <w:pPr>
              <w:spacing w:before="40" w:after="40"/>
              <w:rPr>
                <w:rFonts w:cs="Calibri"/>
                <w:sz w:val="18"/>
                <w:szCs w:val="18"/>
              </w:rPr>
            </w:pPr>
            <w:r w:rsidRPr="00A02E13">
              <w:rPr>
                <w:rFonts w:cs="Calibri"/>
                <w:sz w:val="18"/>
                <w:szCs w:val="18"/>
              </w:rPr>
              <w:t xml:space="preserve">Examine change in the impact of mental health difficulties on children and adolescents functioning over the course of public mental health treatment.    </w:t>
            </w:r>
          </w:p>
          <w:p w14:paraId="3BF5DF38" w14:textId="77777777" w:rsidR="001E4776" w:rsidRPr="00A02E13" w:rsidRDefault="001E4776" w:rsidP="000D76F8">
            <w:pPr>
              <w:spacing w:before="40" w:after="40"/>
              <w:rPr>
                <w:rFonts w:cs="Calibri"/>
                <w:sz w:val="18"/>
                <w:szCs w:val="18"/>
              </w:rPr>
            </w:pPr>
            <w:r w:rsidRPr="00A02E13">
              <w:rPr>
                <w:rFonts w:cs="Calibri"/>
                <w:sz w:val="18"/>
                <w:szCs w:val="18"/>
              </w:rPr>
              <w:t xml:space="preserve">Families, carers, significant </w:t>
            </w:r>
            <w:proofErr w:type="gramStart"/>
            <w:r w:rsidRPr="00A02E13">
              <w:rPr>
                <w:rFonts w:cs="Calibri"/>
                <w:sz w:val="18"/>
                <w:szCs w:val="18"/>
              </w:rPr>
              <w:t>others</w:t>
            </w:r>
            <w:proofErr w:type="gramEnd"/>
            <w:r w:rsidRPr="00A02E13">
              <w:rPr>
                <w:rFonts w:cs="Calibri"/>
                <w:sz w:val="18"/>
                <w:szCs w:val="18"/>
              </w:rPr>
              <w:t xml:space="preserve"> and consumers lives are impacted by the presence of mental health difficulties.  Public mental health services focus on those for whom there is significant impact, and associated burden.   Services aim to reduce the impact of mental health difficulties for carers and families, as well as for occurring consumers.  Reducing the impact of mental health difficulties is an important component of the recovery process for all concerned.  </w:t>
            </w:r>
          </w:p>
        </w:tc>
      </w:tr>
      <w:tr w:rsidR="001E4776" w:rsidRPr="00A02E13" w14:paraId="105A7FFE" w14:textId="77777777" w:rsidTr="000D76F8">
        <w:trPr>
          <w:jc w:val="center"/>
        </w:trPr>
        <w:tc>
          <w:tcPr>
            <w:tcW w:w="3159" w:type="dxa"/>
            <w:gridSpan w:val="2"/>
            <w:noWrap/>
          </w:tcPr>
          <w:p w14:paraId="13275FD4" w14:textId="77777777" w:rsidR="001E4776" w:rsidRPr="00A02E13" w:rsidRDefault="001E4776" w:rsidP="000D76F8">
            <w:pPr>
              <w:spacing w:before="40" w:after="40"/>
              <w:rPr>
                <w:rFonts w:cs="Calibri"/>
                <w:b/>
                <w:sz w:val="18"/>
                <w:szCs w:val="18"/>
              </w:rPr>
            </w:pPr>
            <w:r w:rsidRPr="00A02E13">
              <w:rPr>
                <w:rFonts w:cs="Calibri"/>
                <w:b/>
                <w:sz w:val="18"/>
                <w:szCs w:val="18"/>
              </w:rPr>
              <w:t>Endorsement status</w:t>
            </w:r>
          </w:p>
        </w:tc>
        <w:tc>
          <w:tcPr>
            <w:tcW w:w="6855" w:type="dxa"/>
            <w:gridSpan w:val="8"/>
          </w:tcPr>
          <w:p w14:paraId="6893FCEA" w14:textId="77777777" w:rsidR="001E4776" w:rsidRPr="00A02E13" w:rsidRDefault="001E4776" w:rsidP="000D76F8">
            <w:pPr>
              <w:spacing w:before="40" w:after="40"/>
              <w:rPr>
                <w:rFonts w:cs="Calibri"/>
                <w:sz w:val="18"/>
                <w:szCs w:val="18"/>
              </w:rPr>
            </w:pPr>
          </w:p>
        </w:tc>
      </w:tr>
      <w:tr w:rsidR="001E4776" w:rsidRPr="00A02E13" w14:paraId="08044EA8" w14:textId="77777777" w:rsidTr="000D76F8">
        <w:trPr>
          <w:jc w:val="center"/>
        </w:trPr>
        <w:tc>
          <w:tcPr>
            <w:tcW w:w="3159" w:type="dxa"/>
            <w:gridSpan w:val="2"/>
            <w:noWrap/>
          </w:tcPr>
          <w:p w14:paraId="7AECE4B9" w14:textId="77777777" w:rsidR="001E4776" w:rsidRPr="00A02E13" w:rsidRDefault="001E4776" w:rsidP="000D76F8">
            <w:pPr>
              <w:spacing w:before="40" w:after="40"/>
              <w:rPr>
                <w:rFonts w:cs="Calibri"/>
                <w:b/>
                <w:sz w:val="18"/>
                <w:szCs w:val="18"/>
              </w:rPr>
            </w:pPr>
            <w:r w:rsidRPr="00A02E13">
              <w:rPr>
                <w:rFonts w:cs="Calibri"/>
                <w:b/>
                <w:sz w:val="18"/>
                <w:szCs w:val="18"/>
              </w:rPr>
              <w:t>Date last updated</w:t>
            </w:r>
          </w:p>
        </w:tc>
        <w:tc>
          <w:tcPr>
            <w:tcW w:w="6855" w:type="dxa"/>
            <w:gridSpan w:val="8"/>
          </w:tcPr>
          <w:p w14:paraId="6D0F88E9" w14:textId="77777777" w:rsidR="001E4776" w:rsidRPr="00A02E13" w:rsidRDefault="001E4776" w:rsidP="000D76F8">
            <w:pPr>
              <w:spacing w:before="40" w:after="40"/>
              <w:rPr>
                <w:rFonts w:cs="Calibri"/>
                <w:color w:val="FF0000"/>
                <w:sz w:val="18"/>
                <w:szCs w:val="18"/>
              </w:rPr>
            </w:pPr>
          </w:p>
        </w:tc>
      </w:tr>
      <w:tr w:rsidR="001E4776" w:rsidRPr="00A02E13" w14:paraId="3FE6843F" w14:textId="77777777" w:rsidTr="000D76F8">
        <w:trPr>
          <w:jc w:val="center"/>
        </w:trPr>
        <w:tc>
          <w:tcPr>
            <w:tcW w:w="10014" w:type="dxa"/>
            <w:gridSpan w:val="10"/>
            <w:shd w:val="clear" w:color="auto" w:fill="DBE5F1"/>
            <w:noWrap/>
          </w:tcPr>
          <w:p w14:paraId="284A27D3" w14:textId="77777777" w:rsidR="001E4776" w:rsidRPr="00A02E13" w:rsidRDefault="001E4776" w:rsidP="000D76F8">
            <w:pPr>
              <w:spacing w:before="40" w:after="40"/>
              <w:rPr>
                <w:rFonts w:cs="Calibri"/>
                <w:b/>
                <w:sz w:val="18"/>
                <w:szCs w:val="18"/>
              </w:rPr>
            </w:pPr>
            <w:r w:rsidRPr="00A02E13">
              <w:rPr>
                <w:rFonts w:cs="Calibri"/>
                <w:b/>
                <w:szCs w:val="18"/>
              </w:rPr>
              <w:t>Indicator details</w:t>
            </w:r>
          </w:p>
        </w:tc>
      </w:tr>
      <w:tr w:rsidR="001E4776" w:rsidRPr="00A02E13" w14:paraId="6CC6CBCE" w14:textId="77777777" w:rsidTr="000D76F8">
        <w:trPr>
          <w:jc w:val="center"/>
        </w:trPr>
        <w:tc>
          <w:tcPr>
            <w:tcW w:w="3159" w:type="dxa"/>
            <w:gridSpan w:val="2"/>
            <w:noWrap/>
          </w:tcPr>
          <w:p w14:paraId="096C4061" w14:textId="77777777" w:rsidR="001E4776" w:rsidRPr="00A02E13" w:rsidRDefault="001E4776" w:rsidP="000D76F8">
            <w:pPr>
              <w:spacing w:before="40" w:after="40"/>
              <w:rPr>
                <w:rFonts w:cs="Calibri"/>
                <w:b/>
                <w:sz w:val="18"/>
                <w:szCs w:val="18"/>
              </w:rPr>
            </w:pPr>
            <w:r w:rsidRPr="00A02E13">
              <w:rPr>
                <w:rFonts w:cs="Calibri"/>
                <w:b/>
                <w:sz w:val="18"/>
                <w:szCs w:val="18"/>
              </w:rPr>
              <w:t>Description</w:t>
            </w:r>
          </w:p>
        </w:tc>
        <w:tc>
          <w:tcPr>
            <w:tcW w:w="6855" w:type="dxa"/>
            <w:gridSpan w:val="8"/>
          </w:tcPr>
          <w:p w14:paraId="18EE7466" w14:textId="77777777" w:rsidR="001E4776" w:rsidRPr="005B5A9E" w:rsidRDefault="001E4776" w:rsidP="000D76F8">
            <w:pPr>
              <w:spacing w:before="40" w:after="40"/>
              <w:rPr>
                <w:rFonts w:cs="Calibri"/>
                <w:sz w:val="18"/>
                <w:szCs w:val="18"/>
              </w:rPr>
            </w:pPr>
            <w:r w:rsidRPr="005B5A9E">
              <w:rPr>
                <w:rFonts w:cs="Calibri"/>
                <w:sz w:val="18"/>
                <w:szCs w:val="18"/>
              </w:rPr>
              <w:t>The proportion of episodes of care where either of the following were identified between baseline and follow-up of completed outcome measures:</w:t>
            </w:r>
          </w:p>
          <w:p w14:paraId="0EF43883" w14:textId="77777777" w:rsidR="001E4776" w:rsidRPr="00A02E13" w:rsidRDefault="001E4776" w:rsidP="001E4776">
            <w:pPr>
              <w:numPr>
                <w:ilvl w:val="0"/>
                <w:numId w:val="32"/>
              </w:numPr>
              <w:spacing w:before="40" w:after="40" w:line="276" w:lineRule="auto"/>
              <w:rPr>
                <w:rFonts w:cs="Arial"/>
                <w:sz w:val="18"/>
                <w:szCs w:val="24"/>
              </w:rPr>
            </w:pPr>
            <w:r w:rsidRPr="00A02E13">
              <w:rPr>
                <w:rFonts w:cs="Arial"/>
                <w:sz w:val="18"/>
                <w:szCs w:val="24"/>
              </w:rPr>
              <w:t xml:space="preserve">significant </w:t>
            </w:r>
            <w:proofErr w:type="gramStart"/>
            <w:r w:rsidRPr="00A02E13">
              <w:rPr>
                <w:rFonts w:cs="Arial"/>
                <w:sz w:val="18"/>
                <w:szCs w:val="24"/>
              </w:rPr>
              <w:t>improvement;</w:t>
            </w:r>
            <w:proofErr w:type="gramEnd"/>
          </w:p>
          <w:p w14:paraId="4A28A9B2" w14:textId="77777777" w:rsidR="001E4776" w:rsidRPr="00A02E13" w:rsidRDefault="001E4776" w:rsidP="001E4776">
            <w:pPr>
              <w:numPr>
                <w:ilvl w:val="0"/>
                <w:numId w:val="32"/>
              </w:numPr>
              <w:spacing w:before="40" w:after="40" w:line="276" w:lineRule="auto"/>
              <w:rPr>
                <w:rFonts w:cs="Arial"/>
                <w:sz w:val="18"/>
                <w:szCs w:val="24"/>
              </w:rPr>
            </w:pPr>
            <w:r w:rsidRPr="00A02E13">
              <w:rPr>
                <w:rFonts w:cs="Arial"/>
                <w:sz w:val="18"/>
                <w:szCs w:val="24"/>
              </w:rPr>
              <w:t xml:space="preserve">significant </w:t>
            </w:r>
            <w:proofErr w:type="gramStart"/>
            <w:r w:rsidRPr="00A02E13">
              <w:rPr>
                <w:rFonts w:cs="Arial"/>
                <w:sz w:val="18"/>
                <w:szCs w:val="24"/>
              </w:rPr>
              <w:t>deterioration;</w:t>
            </w:r>
            <w:proofErr w:type="gramEnd"/>
          </w:p>
          <w:p w14:paraId="1502DCAC" w14:textId="77777777" w:rsidR="001E4776" w:rsidRPr="00A02E13" w:rsidRDefault="001E4776" w:rsidP="001E4776">
            <w:pPr>
              <w:numPr>
                <w:ilvl w:val="0"/>
                <w:numId w:val="32"/>
              </w:numPr>
              <w:spacing w:before="40" w:after="40" w:line="276" w:lineRule="auto"/>
              <w:rPr>
                <w:rFonts w:cs="Calibri"/>
                <w:sz w:val="18"/>
                <w:szCs w:val="18"/>
              </w:rPr>
            </w:pPr>
            <w:r w:rsidRPr="00A02E13">
              <w:rPr>
                <w:rFonts w:cs="Arial"/>
                <w:sz w:val="18"/>
                <w:szCs w:val="24"/>
              </w:rPr>
              <w:t>no significant change.</w:t>
            </w:r>
          </w:p>
          <w:p w14:paraId="29D85F25" w14:textId="77777777" w:rsidR="001E4776" w:rsidRPr="00A02E13" w:rsidRDefault="001E4776" w:rsidP="000D76F8">
            <w:pPr>
              <w:spacing w:before="40" w:after="40"/>
              <w:rPr>
                <w:rFonts w:cs="Calibri"/>
                <w:sz w:val="18"/>
                <w:szCs w:val="18"/>
              </w:rPr>
            </w:pPr>
          </w:p>
        </w:tc>
      </w:tr>
      <w:tr w:rsidR="001E4776" w:rsidRPr="00A02E13" w14:paraId="499EB7B2" w14:textId="77777777" w:rsidTr="000D76F8">
        <w:trPr>
          <w:jc w:val="center"/>
        </w:trPr>
        <w:tc>
          <w:tcPr>
            <w:tcW w:w="3159" w:type="dxa"/>
            <w:gridSpan w:val="2"/>
            <w:noWrap/>
          </w:tcPr>
          <w:p w14:paraId="218594F9" w14:textId="77777777" w:rsidR="001E4776" w:rsidRPr="00A02E13" w:rsidRDefault="001E4776" w:rsidP="000D76F8">
            <w:pPr>
              <w:spacing w:before="40" w:after="40"/>
              <w:rPr>
                <w:rFonts w:cs="Calibri"/>
                <w:sz w:val="18"/>
                <w:szCs w:val="18"/>
              </w:rPr>
            </w:pPr>
            <w:r w:rsidRPr="00A02E13">
              <w:rPr>
                <w:rFonts w:cs="Calibri"/>
                <w:sz w:val="18"/>
                <w:szCs w:val="18"/>
              </w:rPr>
              <w:t>Numerator</w:t>
            </w:r>
          </w:p>
        </w:tc>
        <w:tc>
          <w:tcPr>
            <w:tcW w:w="6855" w:type="dxa"/>
            <w:gridSpan w:val="8"/>
          </w:tcPr>
          <w:p w14:paraId="1CB0E71B" w14:textId="77777777" w:rsidR="001E4776" w:rsidRPr="00D303D0" w:rsidRDefault="001E4776" w:rsidP="000D76F8">
            <w:pPr>
              <w:spacing w:before="40" w:after="40"/>
              <w:rPr>
                <w:rFonts w:cs="Calibri"/>
                <w:sz w:val="18"/>
                <w:szCs w:val="18"/>
              </w:rPr>
            </w:pPr>
            <w:r w:rsidRPr="005B5A9E">
              <w:rPr>
                <w:rFonts w:cs="Calibri"/>
                <w:sz w:val="18"/>
                <w:szCs w:val="18"/>
              </w:rPr>
              <w:t>Number of completed or ongoing episodes of care with completed outcome measures, partitioned by mental health setting, where significant change/significant deterioration/no significant change was identified between baseline and follow-up within the reference period.</w:t>
            </w:r>
          </w:p>
        </w:tc>
      </w:tr>
      <w:tr w:rsidR="001E4776" w:rsidRPr="00A02E13" w14:paraId="79774A58" w14:textId="77777777" w:rsidTr="000D76F8">
        <w:trPr>
          <w:jc w:val="center"/>
        </w:trPr>
        <w:tc>
          <w:tcPr>
            <w:tcW w:w="3159" w:type="dxa"/>
            <w:gridSpan w:val="2"/>
            <w:noWrap/>
          </w:tcPr>
          <w:p w14:paraId="68FA0D0A" w14:textId="77777777" w:rsidR="001E4776" w:rsidRPr="00A02E13" w:rsidRDefault="001E4776" w:rsidP="000D76F8">
            <w:pPr>
              <w:spacing w:before="40" w:after="40"/>
              <w:rPr>
                <w:rFonts w:cs="Calibri"/>
                <w:b/>
                <w:sz w:val="18"/>
                <w:szCs w:val="18"/>
              </w:rPr>
            </w:pPr>
            <w:r w:rsidRPr="00A02E13">
              <w:rPr>
                <w:rFonts w:cs="Calibri"/>
                <w:b/>
                <w:sz w:val="18"/>
                <w:szCs w:val="18"/>
              </w:rPr>
              <w:t>Denominator</w:t>
            </w:r>
          </w:p>
        </w:tc>
        <w:tc>
          <w:tcPr>
            <w:tcW w:w="6855" w:type="dxa"/>
            <w:gridSpan w:val="8"/>
          </w:tcPr>
          <w:p w14:paraId="5BD32F9E" w14:textId="77777777" w:rsidR="001E4776" w:rsidRPr="00A02E13" w:rsidRDefault="001E4776" w:rsidP="000D76F8">
            <w:pPr>
              <w:spacing w:before="40" w:after="40"/>
              <w:rPr>
                <w:rFonts w:cs="Calibri"/>
                <w:sz w:val="18"/>
                <w:szCs w:val="18"/>
              </w:rPr>
            </w:pPr>
            <w:r w:rsidRPr="005B5A9E">
              <w:rPr>
                <w:rFonts w:cs="Calibri"/>
                <w:sz w:val="18"/>
                <w:szCs w:val="18"/>
              </w:rPr>
              <w:t>Number of completed or ongoing episodes of care with completed outcome measures, partitioned by mental health setting within the reference period.</w:t>
            </w:r>
          </w:p>
          <w:p w14:paraId="4FD6AB52" w14:textId="77777777" w:rsidR="001E4776" w:rsidRPr="00A02E13" w:rsidRDefault="001E4776" w:rsidP="000D76F8">
            <w:pPr>
              <w:spacing w:before="40" w:after="40"/>
              <w:rPr>
                <w:rFonts w:cs="Calibri"/>
                <w:sz w:val="18"/>
                <w:szCs w:val="18"/>
              </w:rPr>
            </w:pPr>
          </w:p>
        </w:tc>
      </w:tr>
      <w:tr w:rsidR="001E4776" w:rsidRPr="00A02E13" w14:paraId="1C206BFC" w14:textId="77777777" w:rsidTr="000D76F8">
        <w:trPr>
          <w:jc w:val="center"/>
        </w:trPr>
        <w:tc>
          <w:tcPr>
            <w:tcW w:w="3159" w:type="dxa"/>
            <w:gridSpan w:val="2"/>
            <w:noWrap/>
          </w:tcPr>
          <w:p w14:paraId="706BFED6" w14:textId="77777777" w:rsidR="001E4776" w:rsidRPr="00A02E13" w:rsidRDefault="001E4776" w:rsidP="000D76F8">
            <w:pPr>
              <w:spacing w:before="40" w:after="40"/>
              <w:rPr>
                <w:rFonts w:cs="Calibri"/>
                <w:b/>
                <w:sz w:val="18"/>
                <w:szCs w:val="18"/>
              </w:rPr>
            </w:pPr>
            <w:r w:rsidRPr="00A02E13">
              <w:rPr>
                <w:rFonts w:cs="Calibri"/>
                <w:b/>
                <w:sz w:val="18"/>
                <w:szCs w:val="18"/>
              </w:rPr>
              <w:t>Computation</w:t>
            </w:r>
          </w:p>
        </w:tc>
        <w:tc>
          <w:tcPr>
            <w:tcW w:w="6855" w:type="dxa"/>
            <w:gridSpan w:val="8"/>
          </w:tcPr>
          <w:p w14:paraId="7A1C5518" w14:textId="77777777" w:rsidR="001E4776" w:rsidRPr="00A02E13" w:rsidRDefault="001E4776" w:rsidP="000D76F8">
            <w:pPr>
              <w:spacing w:before="40" w:after="40"/>
              <w:rPr>
                <w:rFonts w:cs="Calibri"/>
                <w:sz w:val="18"/>
                <w:szCs w:val="18"/>
              </w:rPr>
            </w:pPr>
            <w:r w:rsidRPr="00A02E13">
              <w:rPr>
                <w:rFonts w:cs="Calibri"/>
                <w:sz w:val="18"/>
                <w:szCs w:val="18"/>
              </w:rPr>
              <w:t xml:space="preserve">(Numerator ÷ Denominator) x 100 </w:t>
            </w:r>
          </w:p>
          <w:p w14:paraId="2BF97594" w14:textId="77777777" w:rsidR="001E4776" w:rsidRPr="00A02E13" w:rsidRDefault="001E4776" w:rsidP="000D76F8">
            <w:pPr>
              <w:spacing w:before="40" w:after="40"/>
              <w:rPr>
                <w:rFonts w:cs="Calibri"/>
                <w:sz w:val="18"/>
                <w:szCs w:val="18"/>
              </w:rPr>
            </w:pPr>
          </w:p>
        </w:tc>
      </w:tr>
      <w:tr w:rsidR="001E4776" w:rsidRPr="00A02E13" w14:paraId="32B8D349" w14:textId="77777777" w:rsidTr="000D76F8">
        <w:trPr>
          <w:trHeight w:val="308"/>
          <w:jc w:val="center"/>
        </w:trPr>
        <w:tc>
          <w:tcPr>
            <w:tcW w:w="3159" w:type="dxa"/>
            <w:gridSpan w:val="2"/>
            <w:vMerge w:val="restart"/>
            <w:noWrap/>
          </w:tcPr>
          <w:p w14:paraId="22DB6563" w14:textId="77777777" w:rsidR="001E4776" w:rsidRPr="00A02E13" w:rsidRDefault="001E4776" w:rsidP="000D76F8">
            <w:pPr>
              <w:spacing w:before="40" w:after="40"/>
              <w:rPr>
                <w:rFonts w:cs="Calibri"/>
                <w:b/>
                <w:sz w:val="18"/>
                <w:szCs w:val="18"/>
              </w:rPr>
            </w:pPr>
            <w:r w:rsidRPr="00A02E13">
              <w:rPr>
                <w:rFonts w:cs="Calibri"/>
                <w:b/>
                <w:sz w:val="18"/>
                <w:szCs w:val="18"/>
              </w:rPr>
              <w:t>Calculation conditions</w:t>
            </w:r>
          </w:p>
        </w:tc>
        <w:tc>
          <w:tcPr>
            <w:tcW w:w="1523" w:type="dxa"/>
            <w:gridSpan w:val="2"/>
          </w:tcPr>
          <w:p w14:paraId="55CD3B57" w14:textId="77777777" w:rsidR="001E4776" w:rsidRPr="00A02E13" w:rsidRDefault="001E4776" w:rsidP="000D76F8">
            <w:pPr>
              <w:spacing w:before="40" w:after="40"/>
              <w:rPr>
                <w:rFonts w:cs="Calibri"/>
                <w:sz w:val="18"/>
                <w:szCs w:val="18"/>
              </w:rPr>
            </w:pPr>
            <w:r w:rsidRPr="00A02E13">
              <w:rPr>
                <w:rFonts w:cs="Calibri"/>
                <w:sz w:val="18"/>
                <w:szCs w:val="18"/>
              </w:rPr>
              <w:t>Coverage/Scope:</w:t>
            </w:r>
          </w:p>
        </w:tc>
        <w:tc>
          <w:tcPr>
            <w:tcW w:w="5332" w:type="dxa"/>
            <w:gridSpan w:val="6"/>
          </w:tcPr>
          <w:p w14:paraId="3D6A512C" w14:textId="77777777" w:rsidR="001E4776" w:rsidRPr="00A02E13" w:rsidRDefault="001E4776" w:rsidP="000D76F8">
            <w:pPr>
              <w:spacing w:before="40" w:after="40"/>
              <w:rPr>
                <w:rFonts w:cs="Calibri"/>
                <w:sz w:val="18"/>
                <w:szCs w:val="18"/>
              </w:rPr>
            </w:pPr>
            <w:r w:rsidRPr="00A02E13">
              <w:rPr>
                <w:rFonts w:cs="Calibri"/>
                <w:sz w:val="18"/>
                <w:szCs w:val="18"/>
              </w:rPr>
              <w:t xml:space="preserve">All public sector mental health service organisations with specialised </w:t>
            </w:r>
            <w:r w:rsidRPr="005B5A9E">
              <w:rPr>
                <w:rFonts w:cs="Calibri"/>
                <w:sz w:val="18"/>
                <w:szCs w:val="18"/>
                <w:u w:val="single"/>
              </w:rPr>
              <w:t>ambulatory</w:t>
            </w:r>
            <w:r w:rsidRPr="00A02E13">
              <w:rPr>
                <w:rFonts w:cs="Calibri"/>
                <w:sz w:val="18"/>
                <w:szCs w:val="18"/>
              </w:rPr>
              <w:t xml:space="preserve"> child and adolescent mental health services. </w:t>
            </w:r>
          </w:p>
        </w:tc>
      </w:tr>
      <w:tr w:rsidR="001E4776" w:rsidRPr="00A02E13" w14:paraId="3D6FE2BD" w14:textId="77777777" w:rsidTr="000D76F8">
        <w:trPr>
          <w:trHeight w:val="307"/>
          <w:jc w:val="center"/>
        </w:trPr>
        <w:tc>
          <w:tcPr>
            <w:tcW w:w="3159" w:type="dxa"/>
            <w:gridSpan w:val="2"/>
            <w:vMerge/>
            <w:noWrap/>
          </w:tcPr>
          <w:p w14:paraId="778E6A3D" w14:textId="77777777" w:rsidR="001E4776" w:rsidRPr="00A02E13" w:rsidRDefault="001E4776" w:rsidP="000D76F8">
            <w:pPr>
              <w:spacing w:before="40" w:after="40"/>
              <w:rPr>
                <w:rFonts w:cs="Calibri"/>
                <w:b/>
                <w:sz w:val="18"/>
                <w:szCs w:val="18"/>
              </w:rPr>
            </w:pPr>
          </w:p>
        </w:tc>
        <w:tc>
          <w:tcPr>
            <w:tcW w:w="1523" w:type="dxa"/>
            <w:gridSpan w:val="2"/>
          </w:tcPr>
          <w:p w14:paraId="2D8E9462" w14:textId="77777777" w:rsidR="001E4776" w:rsidRPr="00A02E13" w:rsidRDefault="001E4776" w:rsidP="000D76F8">
            <w:pPr>
              <w:spacing w:before="40" w:after="40"/>
              <w:rPr>
                <w:rFonts w:cs="Calibri"/>
                <w:sz w:val="18"/>
                <w:szCs w:val="18"/>
              </w:rPr>
            </w:pPr>
            <w:r w:rsidRPr="00A02E13">
              <w:rPr>
                <w:rFonts w:cs="Calibri"/>
                <w:sz w:val="18"/>
                <w:szCs w:val="18"/>
              </w:rPr>
              <w:t>Methodology:</w:t>
            </w:r>
          </w:p>
        </w:tc>
        <w:tc>
          <w:tcPr>
            <w:tcW w:w="5332" w:type="dxa"/>
            <w:gridSpan w:val="6"/>
          </w:tcPr>
          <w:p w14:paraId="51DF2E92" w14:textId="77777777" w:rsidR="001E4776" w:rsidRPr="00A02E13" w:rsidRDefault="001E4776" w:rsidP="001E4776">
            <w:pPr>
              <w:numPr>
                <w:ilvl w:val="0"/>
                <w:numId w:val="33"/>
              </w:numPr>
              <w:spacing w:before="40" w:after="40" w:line="276" w:lineRule="auto"/>
              <w:rPr>
                <w:rFonts w:cs="Calibri"/>
                <w:sz w:val="18"/>
                <w:szCs w:val="18"/>
              </w:rPr>
            </w:pPr>
            <w:r w:rsidRPr="00A02E13">
              <w:rPr>
                <w:rFonts w:cs="Calibri"/>
                <w:sz w:val="18"/>
                <w:szCs w:val="18"/>
              </w:rPr>
              <w:t>Only the parent versions of the Strengths and Difficulties Questionnaire are considered in the calculation of this indicator.  Specifically, the parent version for children and the parent version for adolescents.</w:t>
            </w:r>
          </w:p>
          <w:p w14:paraId="7A0A6F00" w14:textId="77777777" w:rsidR="001E4776" w:rsidRPr="00A02E13" w:rsidRDefault="001E4776" w:rsidP="001E4776">
            <w:pPr>
              <w:keepNext/>
              <w:numPr>
                <w:ilvl w:val="0"/>
                <w:numId w:val="33"/>
              </w:numPr>
              <w:spacing w:before="40" w:after="40" w:line="276" w:lineRule="auto"/>
              <w:rPr>
                <w:rFonts w:cs="Calibri"/>
                <w:sz w:val="18"/>
                <w:szCs w:val="18"/>
              </w:rPr>
            </w:pPr>
            <w:r w:rsidRPr="00A02E13">
              <w:rPr>
                <w:rFonts w:cs="Calibri"/>
                <w:sz w:val="18"/>
                <w:szCs w:val="18"/>
              </w:rPr>
              <w:t>Outcomes are to be calculated for the following two groups of consumers:</w:t>
            </w:r>
          </w:p>
          <w:p w14:paraId="7D515CA4" w14:textId="77777777" w:rsidR="001E4776" w:rsidRPr="00A02E13" w:rsidRDefault="001E4776" w:rsidP="001E4776">
            <w:pPr>
              <w:numPr>
                <w:ilvl w:val="0"/>
                <w:numId w:val="33"/>
              </w:numPr>
              <w:spacing w:before="40" w:after="40" w:line="276" w:lineRule="auto"/>
              <w:rPr>
                <w:rFonts w:cs="Calibri"/>
                <w:sz w:val="18"/>
                <w:szCs w:val="18"/>
              </w:rPr>
            </w:pPr>
            <w:r w:rsidRPr="00A02E13">
              <w:rPr>
                <w:rFonts w:cs="Calibri"/>
                <w:b/>
                <w:sz w:val="18"/>
                <w:szCs w:val="18"/>
              </w:rPr>
              <w:tab/>
              <w:t>Group A: Consumers discharged from ambulatory care</w:t>
            </w:r>
            <w:r w:rsidRPr="00A02E13">
              <w:rPr>
                <w:rFonts w:cs="Calibri"/>
                <w:sz w:val="18"/>
                <w:szCs w:val="18"/>
              </w:rPr>
              <w:t xml:space="preserve"> </w:t>
            </w:r>
            <w:r w:rsidRPr="00A02E13">
              <w:rPr>
                <w:rFonts w:cs="Calibri"/>
                <w:sz w:val="18"/>
                <w:szCs w:val="18"/>
              </w:rPr>
              <w:br/>
              <w:t xml:space="preserve">All people who were discharged from an ambulatory care episode within the reference period. Scores should be calculated as the difference between the impact score recorded at admission to the episode (the ‘baseline’), and discharge from the episode (the ‘follow-up’). Ambulatory episodes that are completed because the consumer was admitted to hospital must be excluded from the analysis (that is, where the National Outcomes </w:t>
            </w:r>
            <w:proofErr w:type="spellStart"/>
            <w:r w:rsidRPr="00A02E13">
              <w:rPr>
                <w:rFonts w:cs="Calibri"/>
                <w:sz w:val="18"/>
                <w:szCs w:val="18"/>
              </w:rPr>
              <w:t>Casemix</w:t>
            </w:r>
            <w:proofErr w:type="spellEnd"/>
            <w:r w:rsidRPr="00A02E13">
              <w:rPr>
                <w:rFonts w:cs="Calibri"/>
                <w:sz w:val="18"/>
                <w:szCs w:val="18"/>
              </w:rPr>
              <w:t xml:space="preserve"> </w:t>
            </w:r>
            <w:r w:rsidRPr="00A02E13">
              <w:rPr>
                <w:rFonts w:cs="Calibri"/>
                <w:sz w:val="18"/>
                <w:szCs w:val="18"/>
              </w:rPr>
              <w:lastRenderedPageBreak/>
              <w:t>Collection (NOCC) ‘reason for collection’ equals change of setting)</w:t>
            </w:r>
          </w:p>
          <w:p w14:paraId="355BF358" w14:textId="77777777" w:rsidR="001E4776" w:rsidRPr="00A02E13" w:rsidRDefault="001E4776" w:rsidP="001E4776">
            <w:pPr>
              <w:numPr>
                <w:ilvl w:val="0"/>
                <w:numId w:val="33"/>
              </w:numPr>
              <w:spacing w:before="40" w:after="40" w:line="276" w:lineRule="auto"/>
              <w:rPr>
                <w:rFonts w:cs="Calibri"/>
                <w:sz w:val="18"/>
                <w:szCs w:val="18"/>
              </w:rPr>
            </w:pPr>
            <w:r>
              <w:rPr>
                <w:rFonts w:cs="Calibri"/>
                <w:b/>
                <w:sz w:val="18"/>
                <w:szCs w:val="18"/>
              </w:rPr>
              <w:tab/>
            </w:r>
            <w:r w:rsidRPr="00A02E13">
              <w:rPr>
                <w:rFonts w:cs="Calibri"/>
                <w:b/>
                <w:sz w:val="18"/>
                <w:szCs w:val="18"/>
              </w:rPr>
              <w:t>Group B: Consumers in ongoing ambulatory care</w:t>
            </w:r>
            <w:r w:rsidRPr="00A02E13">
              <w:rPr>
                <w:rFonts w:cs="Calibri"/>
                <w:sz w:val="18"/>
                <w:szCs w:val="18"/>
              </w:rPr>
              <w:t xml:space="preserve"> </w:t>
            </w:r>
            <w:r w:rsidRPr="00A02E13">
              <w:rPr>
                <w:rFonts w:cs="Calibri"/>
                <w:sz w:val="18"/>
                <w:szCs w:val="18"/>
              </w:rPr>
              <w:br/>
              <w:t xml:space="preserve">All people who have an ‘open’ ambulatory episode of care at the end of reference period – that is, the person commenced the ambulatory episode some time either during or prior to the reference period and has not been discharged from that episode at the end of the reference period. Outcome scores should be calculated as the difference between the impact score recorded on the first occasion rated which will be either admission or review, (the ‘baseline’) and the last occasion rated which will be a review (the ‘follow-up’) in the reference </w:t>
            </w:r>
            <w:proofErr w:type="gramStart"/>
            <w:r w:rsidRPr="00A02E13">
              <w:rPr>
                <w:rFonts w:cs="Calibri"/>
                <w:sz w:val="18"/>
                <w:szCs w:val="18"/>
              </w:rPr>
              <w:t>period</w:t>
            </w:r>
            <w:proofErr w:type="gramEnd"/>
          </w:p>
          <w:p w14:paraId="239342E0" w14:textId="77777777" w:rsidR="001E4776" w:rsidRPr="005B5A9E" w:rsidRDefault="001E4776" w:rsidP="001E4776">
            <w:pPr>
              <w:numPr>
                <w:ilvl w:val="0"/>
                <w:numId w:val="33"/>
              </w:numPr>
              <w:spacing w:before="40" w:after="40" w:line="276" w:lineRule="auto"/>
              <w:rPr>
                <w:rFonts w:cs="Calibri"/>
                <w:sz w:val="18"/>
                <w:szCs w:val="18"/>
              </w:rPr>
            </w:pPr>
            <w:r w:rsidRPr="005B5A9E">
              <w:rPr>
                <w:rFonts w:cs="Calibri"/>
                <w:sz w:val="18"/>
                <w:szCs w:val="18"/>
              </w:rPr>
              <w:t xml:space="preserve">Group change analyses can only be determined for episodes of care where both baseline and follow-up ratings are present. This excludes specific episodes defined by the NOCC data collection protocol as not requiring follow-up as well as episodes or partial episodes where either the baseline or follow-up measure is not </w:t>
            </w:r>
            <w:proofErr w:type="gramStart"/>
            <w:r w:rsidRPr="005B5A9E">
              <w:rPr>
                <w:rFonts w:cs="Calibri"/>
                <w:sz w:val="18"/>
                <w:szCs w:val="18"/>
              </w:rPr>
              <w:t>available</w:t>
            </w:r>
            <w:proofErr w:type="gramEnd"/>
            <w:r w:rsidRPr="005B5A9E">
              <w:rPr>
                <w:rFonts w:cs="Calibri"/>
                <w:sz w:val="18"/>
                <w:szCs w:val="18"/>
              </w:rPr>
              <w:t xml:space="preserve">  </w:t>
            </w:r>
          </w:p>
          <w:p w14:paraId="63793EED" w14:textId="77777777" w:rsidR="001E4776" w:rsidRPr="00A02E13" w:rsidRDefault="001E4776" w:rsidP="000D76F8">
            <w:pPr>
              <w:spacing w:before="40" w:after="40"/>
              <w:rPr>
                <w:rFonts w:cs="Calibri"/>
                <w:sz w:val="18"/>
                <w:szCs w:val="18"/>
              </w:rPr>
            </w:pPr>
          </w:p>
        </w:tc>
      </w:tr>
      <w:tr w:rsidR="001E4776" w:rsidRPr="00A02E13" w14:paraId="420A23D7" w14:textId="77777777" w:rsidTr="000D76F8">
        <w:trPr>
          <w:jc w:val="center"/>
        </w:trPr>
        <w:tc>
          <w:tcPr>
            <w:tcW w:w="3159" w:type="dxa"/>
            <w:gridSpan w:val="2"/>
            <w:noWrap/>
          </w:tcPr>
          <w:p w14:paraId="085A41EF" w14:textId="77777777" w:rsidR="001E4776" w:rsidRPr="00A02E13" w:rsidRDefault="001E4776" w:rsidP="000D76F8">
            <w:pPr>
              <w:spacing w:before="40" w:after="40"/>
              <w:rPr>
                <w:rFonts w:cs="Calibri"/>
                <w:b/>
                <w:sz w:val="18"/>
                <w:szCs w:val="18"/>
              </w:rPr>
            </w:pPr>
            <w:r w:rsidRPr="00A02E13">
              <w:rPr>
                <w:rFonts w:cs="Calibri"/>
                <w:b/>
                <w:sz w:val="18"/>
                <w:szCs w:val="18"/>
              </w:rPr>
              <w:lastRenderedPageBreak/>
              <w:t>Definitions</w:t>
            </w:r>
          </w:p>
        </w:tc>
        <w:tc>
          <w:tcPr>
            <w:tcW w:w="6855" w:type="dxa"/>
            <w:gridSpan w:val="8"/>
          </w:tcPr>
          <w:p w14:paraId="09A01610" w14:textId="77777777" w:rsidR="001E4776" w:rsidRPr="00A02E13" w:rsidRDefault="001E4776" w:rsidP="001E4776">
            <w:pPr>
              <w:numPr>
                <w:ilvl w:val="0"/>
                <w:numId w:val="31"/>
              </w:numPr>
              <w:spacing w:after="200" w:line="276" w:lineRule="auto"/>
              <w:rPr>
                <w:rFonts w:cs="Calibri"/>
                <w:sz w:val="18"/>
                <w:szCs w:val="18"/>
              </w:rPr>
            </w:pPr>
            <w:r w:rsidRPr="00A02E13">
              <w:rPr>
                <w:rFonts w:cs="Calibri"/>
                <w:sz w:val="18"/>
                <w:szCs w:val="18"/>
              </w:rPr>
              <w:t xml:space="preserve">There are separate </w:t>
            </w:r>
            <w:r w:rsidRPr="00A02E13">
              <w:rPr>
                <w:rFonts w:cs="Calibri"/>
                <w:sz w:val="18"/>
                <w:szCs w:val="18"/>
                <w:u w:val="single"/>
              </w:rPr>
              <w:t>Parent</w:t>
            </w:r>
            <w:r w:rsidRPr="00A02E13">
              <w:rPr>
                <w:rFonts w:cs="Calibri"/>
                <w:sz w:val="18"/>
                <w:szCs w:val="18"/>
              </w:rPr>
              <w:t xml:space="preserve"> versions of the SDQ, one designed for parents with child consumers aged 4-10 years (SDQ-PC) and one for parents with youth consumers aged 11-17 years (SDQ-PY). The Impact Supplement is identical for </w:t>
            </w:r>
            <w:proofErr w:type="gramStart"/>
            <w:r w:rsidRPr="00A02E13">
              <w:rPr>
                <w:rFonts w:cs="Calibri"/>
                <w:sz w:val="18"/>
                <w:szCs w:val="18"/>
              </w:rPr>
              <w:t>both of these</w:t>
            </w:r>
            <w:proofErr w:type="gramEnd"/>
            <w:r w:rsidRPr="00A02E13">
              <w:rPr>
                <w:rFonts w:cs="Calibri"/>
                <w:sz w:val="18"/>
                <w:szCs w:val="18"/>
              </w:rPr>
              <w:t xml:space="preserve"> versions.</w:t>
            </w:r>
          </w:p>
          <w:p w14:paraId="5D7B2C0B" w14:textId="77777777" w:rsidR="001E4776" w:rsidRPr="00A02E13" w:rsidRDefault="001E4776" w:rsidP="001E4776">
            <w:pPr>
              <w:numPr>
                <w:ilvl w:val="0"/>
                <w:numId w:val="31"/>
              </w:numPr>
              <w:spacing w:after="200" w:line="276" w:lineRule="auto"/>
              <w:rPr>
                <w:rFonts w:cs="Calibri"/>
                <w:sz w:val="18"/>
                <w:szCs w:val="18"/>
              </w:rPr>
            </w:pPr>
            <w:r w:rsidRPr="00A02E13">
              <w:rPr>
                <w:rFonts w:cs="Calibri"/>
                <w:sz w:val="18"/>
                <w:szCs w:val="18"/>
              </w:rPr>
              <w:t>A ‘completed’ SDQ is defined as a measure with a valid ‘Total Difficulties’ score. The ‘Total Difficulties’ is calculated as the sum of four SDQ subscales, ‘Emotional Symptoms’, ‘Conduct Problems’, ‘Hyperactivity/Inattention’ and ‘Peer Relationship Problems’.</w:t>
            </w:r>
          </w:p>
          <w:p w14:paraId="59557FBB" w14:textId="77777777" w:rsidR="001E4776" w:rsidRPr="00A02E13" w:rsidRDefault="001E4776" w:rsidP="001E4776">
            <w:pPr>
              <w:numPr>
                <w:ilvl w:val="0"/>
                <w:numId w:val="31"/>
              </w:numPr>
              <w:spacing w:after="200" w:line="276" w:lineRule="auto"/>
              <w:rPr>
                <w:rFonts w:cs="Calibri"/>
                <w:sz w:val="18"/>
                <w:szCs w:val="18"/>
              </w:rPr>
            </w:pPr>
            <w:r w:rsidRPr="00A02E13">
              <w:rPr>
                <w:rFonts w:cs="Calibri"/>
                <w:sz w:val="18"/>
                <w:szCs w:val="18"/>
              </w:rPr>
              <w:t xml:space="preserve">The Impact Supplement is only completed if the parent rates ‘Yes’ to SDQ </w:t>
            </w:r>
            <w:r>
              <w:rPr>
                <w:rFonts w:cs="Calibri"/>
                <w:sz w:val="18"/>
                <w:szCs w:val="18"/>
              </w:rPr>
              <w:t xml:space="preserve">Question </w:t>
            </w:r>
            <w:r w:rsidRPr="00A02E13">
              <w:rPr>
                <w:rFonts w:cs="Calibri"/>
                <w:sz w:val="18"/>
                <w:szCs w:val="18"/>
              </w:rPr>
              <w:t xml:space="preserve">26: </w:t>
            </w:r>
            <w:r w:rsidRPr="00A02E13">
              <w:rPr>
                <w:rFonts w:cs="Calibri"/>
                <w:i/>
                <w:sz w:val="18"/>
                <w:szCs w:val="18"/>
              </w:rPr>
              <w:t>“Overall, do you think that your child has difficulties in any of the following areas: emotions, concentration, behaviour or being able to get along with other people?”</w:t>
            </w:r>
            <w:r w:rsidRPr="00A02E13">
              <w:rPr>
                <w:rFonts w:cs="Calibri"/>
                <w:sz w:val="18"/>
                <w:szCs w:val="18"/>
              </w:rPr>
              <w:t xml:space="preserve"> (Rated ‘No’, ‘Yes – minor difficulties’, ‘Yes – definite difficulties’ or ‘Yes – severe difficulties’).</w:t>
            </w:r>
          </w:p>
          <w:p w14:paraId="40120BB0" w14:textId="77777777" w:rsidR="001E4776" w:rsidRPr="00A02E13" w:rsidRDefault="001E4776" w:rsidP="001E4776">
            <w:pPr>
              <w:numPr>
                <w:ilvl w:val="0"/>
                <w:numId w:val="31"/>
              </w:numPr>
              <w:spacing w:after="200" w:line="276" w:lineRule="auto"/>
              <w:rPr>
                <w:rFonts w:cs="Calibri"/>
                <w:sz w:val="18"/>
                <w:szCs w:val="18"/>
              </w:rPr>
            </w:pPr>
            <w:r w:rsidRPr="00A02E13">
              <w:rPr>
                <w:rFonts w:cs="Calibri"/>
                <w:sz w:val="18"/>
                <w:szCs w:val="18"/>
              </w:rPr>
              <w:t xml:space="preserve">‘Impact’ is defined as the rating on the SDQ Impact Supplement where ratings range from 0 through 10. This is the sum of 5 separate ratings (SDQ 28-32), that address the consumer’s distress, home life, friendships, classroom learning and leisure activities, on a </w:t>
            </w:r>
            <w:proofErr w:type="gramStart"/>
            <w:r w:rsidRPr="00A02E13">
              <w:rPr>
                <w:rFonts w:cs="Calibri"/>
                <w:sz w:val="18"/>
                <w:szCs w:val="18"/>
              </w:rPr>
              <w:t>4 point</w:t>
            </w:r>
            <w:proofErr w:type="gramEnd"/>
            <w:r w:rsidRPr="00A02E13">
              <w:rPr>
                <w:rFonts w:cs="Calibri"/>
                <w:sz w:val="18"/>
                <w:szCs w:val="18"/>
              </w:rPr>
              <w:t xml:space="preserve"> scale, where ratings of ‘Not at all’ and ‘A little’ are coded as 0, ‘A medium amount’ coded as 1 and a ‘A great deal’ coded as 2, from the parent’s perspective. </w:t>
            </w:r>
          </w:p>
          <w:p w14:paraId="0F574837" w14:textId="77777777" w:rsidR="001E4776" w:rsidRPr="001E2A72" w:rsidRDefault="001E4776" w:rsidP="001E4776">
            <w:pPr>
              <w:numPr>
                <w:ilvl w:val="0"/>
                <w:numId w:val="31"/>
              </w:numPr>
              <w:spacing w:before="40" w:after="40" w:line="276" w:lineRule="auto"/>
              <w:rPr>
                <w:rFonts w:cs="Calibri"/>
                <w:sz w:val="18"/>
                <w:szCs w:val="18"/>
              </w:rPr>
            </w:pPr>
            <w:r w:rsidRPr="001E2A72">
              <w:rPr>
                <w:rFonts w:cs="Calibri"/>
                <w:sz w:val="18"/>
                <w:szCs w:val="18"/>
              </w:rPr>
              <w:t xml:space="preserve">Note that no correction is made for missing </w:t>
            </w:r>
            <w:proofErr w:type="gramStart"/>
            <w:r w:rsidRPr="001E2A72">
              <w:rPr>
                <w:rFonts w:cs="Calibri"/>
                <w:sz w:val="18"/>
                <w:szCs w:val="18"/>
              </w:rPr>
              <w:t>items</w:t>
            </w:r>
            <w:proofErr w:type="gramEnd"/>
          </w:p>
          <w:p w14:paraId="227A2153" w14:textId="77777777" w:rsidR="001E4776" w:rsidRPr="005B5A9E" w:rsidRDefault="001E4776" w:rsidP="001E4776">
            <w:pPr>
              <w:numPr>
                <w:ilvl w:val="0"/>
                <w:numId w:val="31"/>
              </w:numPr>
              <w:spacing w:before="40" w:after="40" w:line="276" w:lineRule="auto"/>
              <w:rPr>
                <w:rFonts w:cs="Calibri"/>
                <w:sz w:val="18"/>
                <w:szCs w:val="18"/>
              </w:rPr>
            </w:pPr>
            <w:r w:rsidRPr="005B5A9E">
              <w:rPr>
                <w:rFonts w:cs="Calibri"/>
                <w:sz w:val="18"/>
                <w:szCs w:val="18"/>
              </w:rPr>
              <w:lastRenderedPageBreak/>
              <w:t xml:space="preserve">Scores are classified as either ‘significant improvement’, ‘significant deterioration or ‘no significant change’, based on the Effect Size statistic – full technical details regarding the calculation of the statistic are documented in the report, Key Performance Indicators for Australian Public Mental Health Services: Modelling Candidate Indicators of Effectiveness, available at: </w:t>
            </w:r>
            <w:hyperlink r:id="rId8" w:history="1">
              <w:r w:rsidRPr="005B5A9E">
                <w:rPr>
                  <w:rStyle w:val="Hyperlink"/>
                  <w:rFonts w:cs="Calibri"/>
                  <w:sz w:val="18"/>
                  <w:szCs w:val="18"/>
                </w:rPr>
                <w:t>http://amhocn.org/static/files/assets/97497d52/Modelling_Candidate_Indicators_of_Effectiveness_20080618.pdf</w:t>
              </w:r>
            </w:hyperlink>
            <w:r w:rsidRPr="005B5A9E">
              <w:rPr>
                <w:rFonts w:cs="Calibri"/>
                <w:sz w:val="18"/>
                <w:szCs w:val="18"/>
              </w:rPr>
              <w:t xml:space="preserve">.  That document was constructed with a view to modelling the effect size calculation for the </w:t>
            </w:r>
            <w:proofErr w:type="spellStart"/>
            <w:r w:rsidRPr="005B5A9E">
              <w:rPr>
                <w:rFonts w:cs="Calibri"/>
                <w:sz w:val="18"/>
                <w:szCs w:val="18"/>
              </w:rPr>
              <w:t>HoNOS</w:t>
            </w:r>
            <w:proofErr w:type="spellEnd"/>
            <w:r w:rsidRPr="005B5A9E">
              <w:rPr>
                <w:rFonts w:cs="Calibri"/>
                <w:sz w:val="18"/>
                <w:szCs w:val="18"/>
              </w:rPr>
              <w:t xml:space="preserve"> family of measures.  The SDQ impact score was not considered at the time although the logic is the same.  </w:t>
            </w:r>
          </w:p>
          <w:p w14:paraId="425D4199" w14:textId="77777777" w:rsidR="001E4776" w:rsidRPr="005B5A9E" w:rsidRDefault="001E4776" w:rsidP="001E4776">
            <w:pPr>
              <w:numPr>
                <w:ilvl w:val="0"/>
                <w:numId w:val="31"/>
              </w:numPr>
              <w:spacing w:before="40" w:after="40" w:line="276" w:lineRule="auto"/>
              <w:rPr>
                <w:rFonts w:cs="Calibri"/>
                <w:sz w:val="18"/>
                <w:szCs w:val="18"/>
              </w:rPr>
            </w:pPr>
            <w:r w:rsidRPr="005B5A9E">
              <w:rPr>
                <w:rFonts w:cs="Calibri"/>
                <w:sz w:val="18"/>
                <w:szCs w:val="18"/>
              </w:rPr>
              <w:t>Scores on the Impact Supplement range from 0 to 10, where higher scores indicate increasing levels of ‘distress’ - ‘social impairment’.</w:t>
            </w:r>
          </w:p>
          <w:p w14:paraId="0EAA5943" w14:textId="77777777" w:rsidR="001E4776" w:rsidRPr="005B5A9E" w:rsidRDefault="001E4776" w:rsidP="001E4776">
            <w:pPr>
              <w:numPr>
                <w:ilvl w:val="0"/>
                <w:numId w:val="31"/>
              </w:numPr>
              <w:spacing w:before="40" w:after="40" w:line="276" w:lineRule="auto"/>
              <w:rPr>
                <w:rFonts w:cs="Calibri"/>
                <w:sz w:val="18"/>
                <w:szCs w:val="18"/>
              </w:rPr>
            </w:pPr>
            <w:r w:rsidRPr="005B5A9E">
              <w:rPr>
                <w:rFonts w:cs="Calibri"/>
                <w:sz w:val="18"/>
                <w:szCs w:val="18"/>
              </w:rPr>
              <w:t>For the purposes of this KPI, a medium effect size of 0.5 is used to assign outcome scores to the three outcome categories. A medium effect size is equivalent to an individual change score of at least one half (0.5) of a standard deviation.</w:t>
            </w:r>
          </w:p>
          <w:p w14:paraId="382F082D" w14:textId="77777777" w:rsidR="001E4776" w:rsidRPr="005B5A9E" w:rsidRDefault="001E4776" w:rsidP="001E4776">
            <w:pPr>
              <w:numPr>
                <w:ilvl w:val="0"/>
                <w:numId w:val="31"/>
              </w:numPr>
              <w:spacing w:before="40" w:after="40"/>
              <w:rPr>
                <w:rFonts w:cs="Calibri"/>
                <w:sz w:val="18"/>
                <w:szCs w:val="18"/>
              </w:rPr>
            </w:pPr>
            <w:r w:rsidRPr="005B5A9E">
              <w:rPr>
                <w:rFonts w:cs="Calibri"/>
                <w:sz w:val="18"/>
                <w:szCs w:val="18"/>
              </w:rPr>
              <w:t>Individual episodes are classified as either: ‘significant improvement’ if the effect size index is greater than or equal to positive 0.5; ‘significant deterioration’ if the effect size index is less than or equal to negative 0.5; or ‘no change’ if the index is greater than -0.5 and less than 0.5.</w:t>
            </w:r>
          </w:p>
          <w:p w14:paraId="7F597FF5" w14:textId="77777777" w:rsidR="001E4776" w:rsidRPr="005B5A9E" w:rsidRDefault="001E4776" w:rsidP="001E4776">
            <w:pPr>
              <w:numPr>
                <w:ilvl w:val="0"/>
                <w:numId w:val="31"/>
              </w:numPr>
              <w:spacing w:before="40" w:after="40"/>
              <w:rPr>
                <w:rFonts w:cs="Calibri"/>
                <w:sz w:val="18"/>
                <w:szCs w:val="18"/>
              </w:rPr>
            </w:pPr>
            <w:r w:rsidRPr="005B5A9E">
              <w:rPr>
                <w:rFonts w:cs="Calibri"/>
                <w:sz w:val="18"/>
                <w:szCs w:val="18"/>
              </w:rPr>
              <w:t>Analyses of the national pool of NOCC data, through the WDST conducted in 2014 (on the years 09/10 to 11/12) indicates that the standard deviation for the Parent Child, and Parent Adolescent SDQs at admission to ambulatory was 2.9 (n=6,930</w:t>
            </w:r>
            <w:proofErr w:type="gramStart"/>
            <w:r w:rsidRPr="005B5A9E">
              <w:rPr>
                <w:rFonts w:cs="Calibri"/>
                <w:sz w:val="18"/>
                <w:szCs w:val="18"/>
              </w:rPr>
              <w:t>)  and</w:t>
            </w:r>
            <w:proofErr w:type="gramEnd"/>
            <w:r w:rsidRPr="005B5A9E">
              <w:rPr>
                <w:rFonts w:cs="Calibri"/>
                <w:sz w:val="18"/>
                <w:szCs w:val="18"/>
              </w:rPr>
              <w:t xml:space="preserve"> 3.0 (n=12,006) respectively.  While not included in this KPI, the Self report Adolescent standard deviation was very similar at 2.8 (n=13,421).  Effectively an effect size of 0.5 is equivalent to half a standard deviation or 1.5.  As individuals can only achieve a whole score, there is no value in calculating different values for parents of children and parents of </w:t>
            </w:r>
            <w:proofErr w:type="gramStart"/>
            <w:r w:rsidRPr="005B5A9E">
              <w:rPr>
                <w:rFonts w:cs="Calibri"/>
                <w:sz w:val="18"/>
                <w:szCs w:val="18"/>
              </w:rPr>
              <w:t>adolescents</w:t>
            </w:r>
            <w:proofErr w:type="gramEnd"/>
            <w:r w:rsidRPr="005B5A9E">
              <w:rPr>
                <w:rFonts w:cs="Calibri"/>
                <w:sz w:val="18"/>
                <w:szCs w:val="18"/>
              </w:rPr>
              <w:t xml:space="preserve"> impact scores.   </w:t>
            </w:r>
          </w:p>
          <w:p w14:paraId="278EE380" w14:textId="77777777" w:rsidR="001E4776" w:rsidRDefault="001E4776" w:rsidP="001E4776">
            <w:pPr>
              <w:numPr>
                <w:ilvl w:val="0"/>
                <w:numId w:val="31"/>
              </w:numPr>
              <w:spacing w:before="40" w:after="40"/>
              <w:rPr>
                <w:rFonts w:cs="Calibri"/>
                <w:sz w:val="18"/>
                <w:szCs w:val="18"/>
              </w:rPr>
            </w:pPr>
            <w:r>
              <w:rPr>
                <w:rFonts w:cs="Calibri"/>
                <w:sz w:val="18"/>
                <w:szCs w:val="18"/>
              </w:rPr>
              <w:t>For A</w:t>
            </w:r>
            <w:r w:rsidRPr="005204AD">
              <w:rPr>
                <w:rFonts w:cs="Calibri"/>
                <w:sz w:val="18"/>
                <w:szCs w:val="18"/>
              </w:rPr>
              <w:t>mbulatory settings</w:t>
            </w:r>
            <w:r>
              <w:rPr>
                <w:rFonts w:cs="Calibri"/>
                <w:sz w:val="18"/>
                <w:szCs w:val="18"/>
              </w:rPr>
              <w:t xml:space="preserve"> for both parent versions, rounding up the value of 1.5 indicates that</w:t>
            </w:r>
            <w:r w:rsidRPr="005204AD">
              <w:rPr>
                <w:rFonts w:cs="Calibri"/>
                <w:sz w:val="18"/>
                <w:szCs w:val="18"/>
              </w:rPr>
              <w:t xml:space="preserve"> a </w:t>
            </w:r>
            <w:proofErr w:type="gramStart"/>
            <w:r>
              <w:rPr>
                <w:rFonts w:cs="Calibri"/>
                <w:sz w:val="18"/>
                <w:szCs w:val="18"/>
              </w:rPr>
              <w:t>three</w:t>
            </w:r>
            <w:r w:rsidRPr="005204AD">
              <w:rPr>
                <w:rFonts w:cs="Calibri"/>
                <w:sz w:val="18"/>
                <w:szCs w:val="18"/>
              </w:rPr>
              <w:t xml:space="preserve"> point</w:t>
            </w:r>
            <w:proofErr w:type="gramEnd"/>
            <w:r w:rsidRPr="005204AD">
              <w:rPr>
                <w:rFonts w:cs="Calibri"/>
                <w:sz w:val="18"/>
                <w:szCs w:val="18"/>
              </w:rPr>
              <w:t xml:space="preserve"> threshold </w:t>
            </w:r>
            <w:r>
              <w:rPr>
                <w:rFonts w:cs="Calibri"/>
                <w:sz w:val="18"/>
                <w:szCs w:val="18"/>
              </w:rPr>
              <w:t>equates to</w:t>
            </w:r>
            <w:r w:rsidRPr="005204AD">
              <w:rPr>
                <w:rFonts w:cs="Calibri"/>
                <w:sz w:val="18"/>
                <w:szCs w:val="18"/>
              </w:rPr>
              <w:t xml:space="preserve"> a medium effect size. In practice this means an individual change score of a least </w:t>
            </w:r>
            <w:r>
              <w:rPr>
                <w:rFonts w:cs="Calibri"/>
                <w:sz w:val="18"/>
                <w:szCs w:val="18"/>
              </w:rPr>
              <w:t>three</w:t>
            </w:r>
            <w:r w:rsidRPr="005204AD">
              <w:rPr>
                <w:rFonts w:cs="Calibri"/>
                <w:sz w:val="18"/>
                <w:szCs w:val="18"/>
              </w:rPr>
              <w:t xml:space="preserve"> points equates to a medium effect size and significant change. </w:t>
            </w:r>
            <w:r>
              <w:rPr>
                <w:rFonts w:cs="Calibri"/>
                <w:sz w:val="18"/>
                <w:szCs w:val="18"/>
              </w:rPr>
              <w:t xml:space="preserve">Change in impact score from admission to discharge of -2 to +2 indicates ‘no change’, while a change in the impact score of -3 or less indicates ‘significant deterioration’.    </w:t>
            </w:r>
          </w:p>
          <w:p w14:paraId="2FBA64F7" w14:textId="77777777" w:rsidR="001E4776" w:rsidRPr="005204AD" w:rsidRDefault="001E4776" w:rsidP="001E4776">
            <w:pPr>
              <w:numPr>
                <w:ilvl w:val="0"/>
                <w:numId w:val="31"/>
              </w:numPr>
              <w:spacing w:before="40" w:after="40"/>
              <w:rPr>
                <w:rFonts w:cs="Calibri"/>
                <w:sz w:val="18"/>
                <w:szCs w:val="18"/>
              </w:rPr>
            </w:pPr>
            <w:r w:rsidRPr="005204AD">
              <w:rPr>
                <w:rFonts w:cs="Calibri"/>
                <w:sz w:val="18"/>
                <w:szCs w:val="18"/>
              </w:rPr>
              <w:t>See glossary for further information regarding the following term/s relevant to this indicator:</w:t>
            </w:r>
          </w:p>
          <w:p w14:paraId="1CC02BCD" w14:textId="77777777" w:rsidR="001E4776" w:rsidRPr="005204AD" w:rsidRDefault="001E4776" w:rsidP="001E4776">
            <w:pPr>
              <w:pStyle w:val="ListParagraph"/>
              <w:numPr>
                <w:ilvl w:val="1"/>
                <w:numId w:val="35"/>
              </w:numPr>
              <w:spacing w:before="40" w:after="40"/>
              <w:rPr>
                <w:rFonts w:cs="Calibri"/>
                <w:sz w:val="18"/>
                <w:szCs w:val="18"/>
              </w:rPr>
            </w:pPr>
            <w:r>
              <w:rPr>
                <w:rFonts w:cs="Calibri"/>
                <w:sz w:val="18"/>
                <w:szCs w:val="18"/>
              </w:rPr>
              <w:t>SDQ</w:t>
            </w:r>
          </w:p>
          <w:p w14:paraId="135D29AC" w14:textId="77777777" w:rsidR="001E4776" w:rsidRPr="005204AD" w:rsidRDefault="001E4776" w:rsidP="001E4776">
            <w:pPr>
              <w:pStyle w:val="ListParagraph"/>
              <w:numPr>
                <w:ilvl w:val="1"/>
                <w:numId w:val="35"/>
              </w:numPr>
              <w:spacing w:before="40" w:after="40"/>
              <w:rPr>
                <w:rFonts w:cs="Calibri"/>
                <w:sz w:val="18"/>
                <w:szCs w:val="18"/>
              </w:rPr>
            </w:pPr>
            <w:r w:rsidRPr="005204AD">
              <w:rPr>
                <w:rFonts w:cs="Calibri"/>
                <w:iCs/>
                <w:sz w:val="18"/>
                <w:szCs w:val="18"/>
              </w:rPr>
              <w:t>Episode of Care</w:t>
            </w:r>
          </w:p>
          <w:p w14:paraId="781468EC" w14:textId="77777777" w:rsidR="001E4776" w:rsidRPr="0016741A" w:rsidRDefault="001E4776" w:rsidP="001E4776">
            <w:pPr>
              <w:numPr>
                <w:ilvl w:val="0"/>
                <w:numId w:val="34"/>
              </w:numPr>
              <w:spacing w:before="40" w:after="40"/>
              <w:ind w:left="714" w:hanging="357"/>
              <w:rPr>
                <w:rFonts w:cs="Calibri"/>
                <w:sz w:val="18"/>
                <w:szCs w:val="18"/>
              </w:rPr>
            </w:pPr>
            <w:r>
              <w:rPr>
                <w:rFonts w:cs="Calibri"/>
                <w:sz w:val="18"/>
                <w:szCs w:val="18"/>
              </w:rPr>
              <w:tab/>
            </w:r>
            <w:r w:rsidRPr="005204AD">
              <w:rPr>
                <w:rFonts w:cs="Calibri"/>
                <w:sz w:val="18"/>
                <w:szCs w:val="18"/>
              </w:rPr>
              <w:t>Effect size</w:t>
            </w:r>
          </w:p>
        </w:tc>
      </w:tr>
      <w:tr w:rsidR="001E4776" w:rsidRPr="00A02E13" w14:paraId="24C11D81" w14:textId="77777777" w:rsidTr="000D76F8">
        <w:trPr>
          <w:jc w:val="center"/>
        </w:trPr>
        <w:tc>
          <w:tcPr>
            <w:tcW w:w="3159" w:type="dxa"/>
            <w:gridSpan w:val="2"/>
            <w:noWrap/>
          </w:tcPr>
          <w:p w14:paraId="1A0DBD8F" w14:textId="77777777" w:rsidR="001E4776" w:rsidRPr="00A02E13" w:rsidRDefault="001E4776" w:rsidP="000D76F8">
            <w:pPr>
              <w:spacing w:before="40" w:after="40"/>
              <w:rPr>
                <w:rFonts w:cs="Calibri"/>
                <w:sz w:val="18"/>
                <w:szCs w:val="18"/>
              </w:rPr>
            </w:pPr>
            <w:r w:rsidRPr="00A02E13">
              <w:rPr>
                <w:rFonts w:cs="Calibri"/>
                <w:b/>
                <w:sz w:val="18"/>
                <w:szCs w:val="18"/>
              </w:rPr>
              <w:lastRenderedPageBreak/>
              <w:t>Presentation</w:t>
            </w:r>
          </w:p>
        </w:tc>
        <w:tc>
          <w:tcPr>
            <w:tcW w:w="6855" w:type="dxa"/>
            <w:gridSpan w:val="8"/>
          </w:tcPr>
          <w:p w14:paraId="1C2DD13F" w14:textId="77777777" w:rsidR="001E4776" w:rsidRPr="00A02E13" w:rsidRDefault="001E4776" w:rsidP="000D76F8">
            <w:pPr>
              <w:spacing w:before="40" w:after="40"/>
              <w:rPr>
                <w:rFonts w:cs="Calibri"/>
                <w:sz w:val="18"/>
                <w:szCs w:val="18"/>
              </w:rPr>
            </w:pPr>
            <w:r w:rsidRPr="00A02E13">
              <w:rPr>
                <w:rFonts w:cs="Calibri"/>
                <w:sz w:val="18"/>
                <w:szCs w:val="18"/>
              </w:rPr>
              <w:t>Percentage</w:t>
            </w:r>
          </w:p>
        </w:tc>
      </w:tr>
      <w:tr w:rsidR="001E4776" w:rsidRPr="00A02E13" w14:paraId="2574FB44" w14:textId="77777777" w:rsidTr="000D76F8">
        <w:trPr>
          <w:jc w:val="center"/>
        </w:trPr>
        <w:tc>
          <w:tcPr>
            <w:tcW w:w="3159" w:type="dxa"/>
            <w:gridSpan w:val="2"/>
            <w:noWrap/>
          </w:tcPr>
          <w:p w14:paraId="1F959982" w14:textId="77777777" w:rsidR="001E4776" w:rsidRPr="00A02E13" w:rsidRDefault="001E4776" w:rsidP="000D76F8">
            <w:pPr>
              <w:spacing w:before="40" w:after="40"/>
              <w:rPr>
                <w:rFonts w:cs="Calibri"/>
                <w:b/>
                <w:sz w:val="18"/>
                <w:szCs w:val="18"/>
              </w:rPr>
            </w:pPr>
            <w:r w:rsidRPr="00A02E13">
              <w:rPr>
                <w:rFonts w:cs="Calibri"/>
                <w:b/>
                <w:sz w:val="18"/>
                <w:szCs w:val="18"/>
              </w:rPr>
              <w:t>Disaggregation</w:t>
            </w:r>
          </w:p>
        </w:tc>
        <w:tc>
          <w:tcPr>
            <w:tcW w:w="6855" w:type="dxa"/>
            <w:gridSpan w:val="8"/>
          </w:tcPr>
          <w:p w14:paraId="492EDA2E" w14:textId="77777777" w:rsidR="001E4776" w:rsidRPr="00A02E13" w:rsidRDefault="001E4776" w:rsidP="000D76F8">
            <w:pPr>
              <w:spacing w:before="40" w:after="40"/>
              <w:rPr>
                <w:rFonts w:cs="Calibri"/>
                <w:sz w:val="18"/>
                <w:szCs w:val="18"/>
              </w:rPr>
            </w:pPr>
            <w:r w:rsidRPr="00A02E13">
              <w:rPr>
                <w:rFonts w:cs="Calibri"/>
                <w:sz w:val="18"/>
                <w:szCs w:val="18"/>
              </w:rPr>
              <w:t>Ages 4-10 years and 11-17</w:t>
            </w:r>
            <w:r>
              <w:rPr>
                <w:rFonts w:cs="Calibri"/>
                <w:sz w:val="18"/>
                <w:szCs w:val="18"/>
              </w:rPr>
              <w:t xml:space="preserve"> years</w:t>
            </w:r>
            <w:r>
              <w:rPr>
                <w:rFonts w:cs="Calibri"/>
                <w:sz w:val="18"/>
                <w:szCs w:val="18"/>
                <w:u w:val="single"/>
              </w:rPr>
              <w:t>.</w:t>
            </w:r>
          </w:p>
        </w:tc>
      </w:tr>
      <w:tr w:rsidR="001E4776" w:rsidRPr="00A02E13" w14:paraId="4C0503FA" w14:textId="77777777" w:rsidTr="000D76F8">
        <w:trPr>
          <w:jc w:val="center"/>
        </w:trPr>
        <w:tc>
          <w:tcPr>
            <w:tcW w:w="3159" w:type="dxa"/>
            <w:gridSpan w:val="2"/>
            <w:noWrap/>
          </w:tcPr>
          <w:p w14:paraId="13D83067" w14:textId="77777777" w:rsidR="001E4776" w:rsidRPr="00A02E13" w:rsidRDefault="001E4776" w:rsidP="000D76F8">
            <w:pPr>
              <w:spacing w:before="40" w:after="40"/>
              <w:rPr>
                <w:rFonts w:cs="Calibri"/>
                <w:b/>
                <w:sz w:val="18"/>
                <w:szCs w:val="18"/>
              </w:rPr>
            </w:pPr>
            <w:r w:rsidRPr="00A02E13">
              <w:rPr>
                <w:rFonts w:cs="Calibri"/>
                <w:b/>
                <w:sz w:val="18"/>
                <w:szCs w:val="18"/>
              </w:rPr>
              <w:t xml:space="preserve">Notes </w:t>
            </w:r>
          </w:p>
        </w:tc>
        <w:tc>
          <w:tcPr>
            <w:tcW w:w="6855" w:type="dxa"/>
            <w:gridSpan w:val="8"/>
          </w:tcPr>
          <w:p w14:paraId="67C5AAF2" w14:textId="77777777" w:rsidR="001E4776" w:rsidRPr="00F531E4" w:rsidRDefault="001E4776" w:rsidP="001E4776">
            <w:pPr>
              <w:numPr>
                <w:ilvl w:val="0"/>
                <w:numId w:val="30"/>
              </w:numPr>
              <w:spacing w:after="200" w:line="276" w:lineRule="auto"/>
              <w:ind w:left="714" w:hanging="357"/>
              <w:rPr>
                <w:rFonts w:cs="Calibri"/>
                <w:sz w:val="18"/>
                <w:szCs w:val="18"/>
              </w:rPr>
            </w:pPr>
            <w:r w:rsidRPr="00794701">
              <w:rPr>
                <w:rFonts w:cs="Calibri"/>
                <w:sz w:val="18"/>
                <w:szCs w:val="18"/>
              </w:rPr>
              <w:t xml:space="preserve">The SDQ has population estimates available and it will be possible to compare individual’s impact scores with community norms.  </w:t>
            </w:r>
            <w:r>
              <w:rPr>
                <w:rFonts w:cs="Calibri"/>
                <w:sz w:val="18"/>
                <w:szCs w:val="18"/>
              </w:rPr>
              <w:t>The current</w:t>
            </w:r>
            <w:r w:rsidRPr="00794701">
              <w:rPr>
                <w:rFonts w:cs="Calibri"/>
                <w:sz w:val="18"/>
                <w:szCs w:val="18"/>
              </w:rPr>
              <w:t xml:space="preserve"> norms </w:t>
            </w:r>
            <w:r>
              <w:rPr>
                <w:rFonts w:cs="Calibri"/>
                <w:sz w:val="18"/>
                <w:szCs w:val="18"/>
              </w:rPr>
              <w:t xml:space="preserve">available are UK and USA based.  </w:t>
            </w:r>
            <w:r w:rsidRPr="00794701">
              <w:rPr>
                <w:rFonts w:cs="Calibri"/>
                <w:sz w:val="18"/>
                <w:szCs w:val="18"/>
              </w:rPr>
              <w:t xml:space="preserve">Australian </w:t>
            </w:r>
            <w:r>
              <w:rPr>
                <w:rFonts w:cs="Calibri"/>
                <w:sz w:val="18"/>
                <w:szCs w:val="18"/>
              </w:rPr>
              <w:t>norms</w:t>
            </w:r>
            <w:r w:rsidRPr="00794701">
              <w:rPr>
                <w:rFonts w:cs="Calibri"/>
                <w:sz w:val="18"/>
                <w:szCs w:val="18"/>
              </w:rPr>
              <w:t xml:space="preserve"> </w:t>
            </w:r>
            <w:r>
              <w:rPr>
                <w:rFonts w:cs="Calibri"/>
                <w:sz w:val="18"/>
                <w:szCs w:val="18"/>
              </w:rPr>
              <w:t xml:space="preserve">are anticipated to be available from the 2014 </w:t>
            </w:r>
            <w:r>
              <w:rPr>
                <w:rFonts w:cs="Calibri"/>
                <w:sz w:val="18"/>
                <w:szCs w:val="18"/>
              </w:rPr>
              <w:lastRenderedPageBreak/>
              <w:t>Child and Adolescent National Survey Mental Health and Well Being</w:t>
            </w:r>
            <w:r w:rsidRPr="00794701">
              <w:rPr>
                <w:rFonts w:cs="Calibri"/>
                <w:sz w:val="18"/>
                <w:szCs w:val="18"/>
              </w:rPr>
              <w:t>.</w:t>
            </w:r>
          </w:p>
          <w:p w14:paraId="253BE35A" w14:textId="77777777" w:rsidR="001E4776" w:rsidRPr="00A02E13" w:rsidRDefault="001E4776" w:rsidP="001E4776">
            <w:pPr>
              <w:numPr>
                <w:ilvl w:val="0"/>
                <w:numId w:val="30"/>
              </w:numPr>
              <w:spacing w:after="200" w:line="276" w:lineRule="auto"/>
              <w:ind w:left="714" w:hanging="357"/>
              <w:rPr>
                <w:rFonts w:cs="Calibri"/>
                <w:sz w:val="18"/>
                <w:szCs w:val="18"/>
              </w:rPr>
            </w:pPr>
            <w:r w:rsidRPr="00A02E13">
              <w:rPr>
                <w:rFonts w:cs="Calibri"/>
                <w:sz w:val="18"/>
                <w:szCs w:val="18"/>
              </w:rPr>
              <w:t>This indicator addresses the domain of effectiveness from parents/carers perspective. The indicator has the advantage of both addressing some key domains of recovery</w:t>
            </w:r>
            <w:r>
              <w:rPr>
                <w:rFonts w:cs="Calibri"/>
                <w:sz w:val="18"/>
                <w:szCs w:val="18"/>
              </w:rPr>
              <w:t xml:space="preserve"> as well as being able to be referenced against population norms</w:t>
            </w:r>
            <w:r w:rsidRPr="00A02E13">
              <w:rPr>
                <w:rFonts w:cs="Calibri"/>
                <w:sz w:val="18"/>
                <w:szCs w:val="18"/>
              </w:rPr>
              <w:t xml:space="preserve">.  </w:t>
            </w:r>
          </w:p>
          <w:p w14:paraId="058DBA95" w14:textId="77777777" w:rsidR="001E4776" w:rsidRPr="00A02E13" w:rsidRDefault="001E4776" w:rsidP="001E4776">
            <w:pPr>
              <w:numPr>
                <w:ilvl w:val="0"/>
                <w:numId w:val="30"/>
              </w:numPr>
              <w:spacing w:after="200" w:line="276" w:lineRule="auto"/>
              <w:ind w:left="714" w:hanging="357"/>
              <w:rPr>
                <w:rFonts w:cs="Calibri"/>
                <w:sz w:val="18"/>
                <w:szCs w:val="18"/>
              </w:rPr>
            </w:pPr>
            <w:r w:rsidRPr="00A02E13">
              <w:rPr>
                <w:rFonts w:cs="Calibri"/>
                <w:sz w:val="18"/>
                <w:szCs w:val="18"/>
              </w:rPr>
              <w:t>It has the potential to address the sub-domain of Access for those in need by focussing purely on the admission to community collection occasion.   Sufficient volume of SDQ Impact Supplement ratings exists currently to enable reliable estimates of that indicator.</w:t>
            </w:r>
          </w:p>
          <w:p w14:paraId="293B932A" w14:textId="77777777" w:rsidR="001E4776" w:rsidRPr="00A02E13" w:rsidRDefault="001E4776" w:rsidP="001E4776">
            <w:pPr>
              <w:numPr>
                <w:ilvl w:val="0"/>
                <w:numId w:val="30"/>
              </w:numPr>
              <w:spacing w:after="200" w:line="276" w:lineRule="auto"/>
              <w:ind w:left="714" w:hanging="357"/>
              <w:rPr>
                <w:rFonts w:cs="Calibri"/>
                <w:sz w:val="18"/>
                <w:szCs w:val="18"/>
              </w:rPr>
            </w:pPr>
            <w:r>
              <w:rPr>
                <w:rFonts w:cs="Calibri"/>
                <w:sz w:val="18"/>
                <w:szCs w:val="18"/>
              </w:rPr>
              <w:t>Disaggregation s</w:t>
            </w:r>
            <w:r w:rsidRPr="00A02E13">
              <w:rPr>
                <w:rFonts w:cs="Calibri"/>
                <w:sz w:val="18"/>
                <w:szCs w:val="18"/>
              </w:rPr>
              <w:t xml:space="preserve">hould not be reported where there are fewer than </w:t>
            </w:r>
            <w:r>
              <w:rPr>
                <w:rFonts w:cs="Calibri"/>
                <w:sz w:val="18"/>
                <w:szCs w:val="18"/>
              </w:rPr>
              <w:t>30</w:t>
            </w:r>
            <w:r w:rsidRPr="00A02E13">
              <w:rPr>
                <w:rFonts w:cs="Calibri"/>
                <w:sz w:val="18"/>
                <w:szCs w:val="18"/>
              </w:rPr>
              <w:t xml:space="preserve"> observations.</w:t>
            </w:r>
          </w:p>
          <w:p w14:paraId="6D896C1A" w14:textId="77777777" w:rsidR="001E4776" w:rsidRPr="00A02E13" w:rsidRDefault="001E4776" w:rsidP="001E4776">
            <w:pPr>
              <w:numPr>
                <w:ilvl w:val="0"/>
                <w:numId w:val="30"/>
              </w:numPr>
              <w:spacing w:after="200" w:line="276" w:lineRule="auto"/>
              <w:ind w:left="714" w:hanging="357"/>
              <w:rPr>
                <w:rFonts w:cs="Calibri"/>
                <w:sz w:val="18"/>
                <w:szCs w:val="18"/>
              </w:rPr>
            </w:pPr>
            <w:r w:rsidRPr="00A02E13">
              <w:rPr>
                <w:rFonts w:cs="Calibri"/>
                <w:sz w:val="18"/>
                <w:szCs w:val="18"/>
              </w:rPr>
              <w:t>Jurisdictional level reporting</w:t>
            </w:r>
            <w:r>
              <w:rPr>
                <w:rFonts w:cs="Calibri"/>
                <w:sz w:val="18"/>
                <w:szCs w:val="18"/>
              </w:rPr>
              <w:t xml:space="preserve"> is available if the number of observations </w:t>
            </w:r>
            <w:proofErr w:type="gramStart"/>
            <w:r>
              <w:rPr>
                <w:rFonts w:cs="Calibri"/>
                <w:sz w:val="18"/>
                <w:szCs w:val="18"/>
              </w:rPr>
              <w:t>are</w:t>
            </w:r>
            <w:proofErr w:type="gramEnd"/>
            <w:r>
              <w:rPr>
                <w:rFonts w:cs="Calibri"/>
                <w:sz w:val="18"/>
                <w:szCs w:val="18"/>
              </w:rPr>
              <w:t xml:space="preserve"> adequate</w:t>
            </w:r>
          </w:p>
        </w:tc>
      </w:tr>
      <w:tr w:rsidR="001E4776" w:rsidRPr="00A02E13" w14:paraId="2C9CED97" w14:textId="77777777" w:rsidTr="000D76F8">
        <w:trPr>
          <w:jc w:val="center"/>
        </w:trPr>
        <w:tc>
          <w:tcPr>
            <w:tcW w:w="3159" w:type="dxa"/>
            <w:gridSpan w:val="2"/>
            <w:noWrap/>
          </w:tcPr>
          <w:p w14:paraId="77766243" w14:textId="77777777" w:rsidR="001E4776" w:rsidRPr="00A02E13" w:rsidRDefault="001E4776" w:rsidP="000D76F8">
            <w:pPr>
              <w:spacing w:before="40" w:after="40"/>
              <w:rPr>
                <w:rFonts w:cs="Calibri"/>
                <w:b/>
                <w:sz w:val="18"/>
                <w:szCs w:val="18"/>
              </w:rPr>
            </w:pPr>
            <w:r w:rsidRPr="00A02E13">
              <w:rPr>
                <w:rFonts w:cs="Calibri"/>
                <w:b/>
                <w:sz w:val="18"/>
                <w:szCs w:val="18"/>
              </w:rPr>
              <w:lastRenderedPageBreak/>
              <w:t xml:space="preserve">Is specification interim or long-term? </w:t>
            </w:r>
          </w:p>
        </w:tc>
        <w:tc>
          <w:tcPr>
            <w:tcW w:w="6855" w:type="dxa"/>
            <w:gridSpan w:val="8"/>
          </w:tcPr>
          <w:p w14:paraId="13A49962" w14:textId="77777777" w:rsidR="001E4776" w:rsidRPr="00A02E13" w:rsidRDefault="001E4776" w:rsidP="000D76F8">
            <w:pPr>
              <w:spacing w:before="40" w:after="40"/>
              <w:rPr>
                <w:rFonts w:cs="Calibri"/>
                <w:sz w:val="18"/>
                <w:szCs w:val="18"/>
              </w:rPr>
            </w:pPr>
            <w:r w:rsidRPr="00A02E13">
              <w:rPr>
                <w:rFonts w:cs="Calibri"/>
                <w:sz w:val="18"/>
                <w:szCs w:val="18"/>
              </w:rPr>
              <w:t>Long-term</w:t>
            </w:r>
          </w:p>
        </w:tc>
      </w:tr>
      <w:tr w:rsidR="001E4776" w:rsidRPr="00A02E13" w14:paraId="71CDD79A" w14:textId="77777777" w:rsidTr="000D76F8">
        <w:trPr>
          <w:jc w:val="center"/>
        </w:trPr>
        <w:tc>
          <w:tcPr>
            <w:tcW w:w="3159" w:type="dxa"/>
            <w:gridSpan w:val="2"/>
            <w:noWrap/>
          </w:tcPr>
          <w:p w14:paraId="1B537B0C" w14:textId="77777777" w:rsidR="001E4776" w:rsidRPr="00A02E13" w:rsidRDefault="001E4776" w:rsidP="000D76F8">
            <w:pPr>
              <w:spacing w:before="40" w:after="40"/>
              <w:rPr>
                <w:rFonts w:cs="Calibri"/>
                <w:b/>
                <w:sz w:val="18"/>
                <w:szCs w:val="18"/>
              </w:rPr>
            </w:pPr>
            <w:r w:rsidRPr="00A02E13">
              <w:rPr>
                <w:rFonts w:cs="Calibri"/>
                <w:b/>
                <w:sz w:val="18"/>
                <w:szCs w:val="18"/>
              </w:rPr>
              <w:t>Reported in</w:t>
            </w:r>
          </w:p>
        </w:tc>
        <w:tc>
          <w:tcPr>
            <w:tcW w:w="6855" w:type="dxa"/>
            <w:gridSpan w:val="8"/>
          </w:tcPr>
          <w:p w14:paraId="6CA42FE2" w14:textId="77777777" w:rsidR="001E4776" w:rsidRPr="00A02E13" w:rsidRDefault="001E4776" w:rsidP="000D76F8">
            <w:pPr>
              <w:spacing w:before="40" w:after="40"/>
              <w:rPr>
                <w:rFonts w:cs="Calibri"/>
                <w:sz w:val="18"/>
                <w:szCs w:val="18"/>
              </w:rPr>
            </w:pPr>
            <w:r w:rsidRPr="00A02E13">
              <w:rPr>
                <w:rFonts w:cs="Calibri"/>
                <w:sz w:val="18"/>
                <w:szCs w:val="18"/>
              </w:rPr>
              <w:t>National Mental Health Report</w:t>
            </w:r>
          </w:p>
        </w:tc>
      </w:tr>
      <w:tr w:rsidR="001E4776" w:rsidRPr="00A02E13" w14:paraId="0A87B8B2" w14:textId="77777777" w:rsidTr="000D76F8">
        <w:trPr>
          <w:jc w:val="center"/>
        </w:trPr>
        <w:tc>
          <w:tcPr>
            <w:tcW w:w="10014" w:type="dxa"/>
            <w:gridSpan w:val="10"/>
            <w:shd w:val="clear" w:color="auto" w:fill="DBE5F1"/>
            <w:noWrap/>
          </w:tcPr>
          <w:p w14:paraId="00D51B5F" w14:textId="77777777" w:rsidR="001E4776" w:rsidRPr="00A02E13" w:rsidRDefault="001E4776" w:rsidP="000D76F8">
            <w:pPr>
              <w:spacing w:before="40" w:after="40"/>
              <w:rPr>
                <w:rFonts w:cs="Calibri"/>
                <w:b/>
                <w:szCs w:val="18"/>
              </w:rPr>
            </w:pPr>
            <w:r w:rsidRPr="00A02E13">
              <w:rPr>
                <w:rFonts w:cs="Calibri"/>
                <w:b/>
                <w:szCs w:val="18"/>
              </w:rPr>
              <w:t>National Mental Health Performance Framework</w:t>
            </w:r>
          </w:p>
        </w:tc>
      </w:tr>
      <w:tr w:rsidR="001E4776" w:rsidRPr="00A02E13" w14:paraId="4B3F89A8" w14:textId="77777777" w:rsidTr="000D76F8">
        <w:trPr>
          <w:jc w:val="center"/>
        </w:trPr>
        <w:tc>
          <w:tcPr>
            <w:tcW w:w="3159" w:type="dxa"/>
            <w:gridSpan w:val="2"/>
            <w:noWrap/>
          </w:tcPr>
          <w:p w14:paraId="13C54C73" w14:textId="77777777" w:rsidR="001E4776" w:rsidRPr="00A02E13" w:rsidRDefault="001E4776" w:rsidP="000D76F8">
            <w:pPr>
              <w:spacing w:before="40" w:after="40"/>
              <w:rPr>
                <w:rFonts w:cs="Calibri"/>
                <w:b/>
                <w:sz w:val="18"/>
                <w:szCs w:val="18"/>
              </w:rPr>
            </w:pPr>
            <w:r w:rsidRPr="00A02E13">
              <w:rPr>
                <w:rFonts w:cs="Calibri"/>
                <w:b/>
                <w:sz w:val="18"/>
                <w:szCs w:val="18"/>
              </w:rPr>
              <w:t>Tier</w:t>
            </w:r>
          </w:p>
        </w:tc>
        <w:tc>
          <w:tcPr>
            <w:tcW w:w="6855" w:type="dxa"/>
            <w:gridSpan w:val="8"/>
          </w:tcPr>
          <w:p w14:paraId="13129735" w14:textId="77777777" w:rsidR="001E4776" w:rsidRPr="00A02E13" w:rsidRDefault="001E4776" w:rsidP="000D76F8">
            <w:pPr>
              <w:spacing w:before="40" w:after="40"/>
              <w:rPr>
                <w:rFonts w:cs="Calibri"/>
                <w:sz w:val="18"/>
                <w:szCs w:val="18"/>
              </w:rPr>
            </w:pPr>
            <w:r w:rsidRPr="00A02E13">
              <w:rPr>
                <w:rFonts w:cs="Calibri"/>
                <w:sz w:val="18"/>
                <w:szCs w:val="18"/>
              </w:rPr>
              <w:t>Tier III – Health Service Performance</w:t>
            </w:r>
          </w:p>
        </w:tc>
      </w:tr>
      <w:tr w:rsidR="001E4776" w:rsidRPr="00A02E13" w14:paraId="6A56C50D" w14:textId="77777777" w:rsidTr="000D76F8">
        <w:trPr>
          <w:jc w:val="center"/>
        </w:trPr>
        <w:tc>
          <w:tcPr>
            <w:tcW w:w="3159" w:type="dxa"/>
            <w:gridSpan w:val="2"/>
            <w:noWrap/>
          </w:tcPr>
          <w:p w14:paraId="5F90D978" w14:textId="77777777" w:rsidR="001E4776" w:rsidRPr="00A02E13" w:rsidRDefault="001E4776" w:rsidP="000D76F8">
            <w:pPr>
              <w:spacing w:before="40" w:after="40"/>
              <w:rPr>
                <w:rFonts w:cs="Calibri"/>
                <w:b/>
                <w:sz w:val="18"/>
                <w:szCs w:val="18"/>
              </w:rPr>
            </w:pPr>
            <w:r w:rsidRPr="00A02E13">
              <w:rPr>
                <w:rFonts w:cs="Calibri"/>
                <w:b/>
                <w:sz w:val="18"/>
                <w:szCs w:val="18"/>
              </w:rPr>
              <w:t>Primary domain</w:t>
            </w:r>
          </w:p>
        </w:tc>
        <w:tc>
          <w:tcPr>
            <w:tcW w:w="6855" w:type="dxa"/>
            <w:gridSpan w:val="8"/>
          </w:tcPr>
          <w:p w14:paraId="52F3B43F" w14:textId="77777777" w:rsidR="001E4776" w:rsidRPr="00A02E13" w:rsidRDefault="001E4776" w:rsidP="000D76F8">
            <w:pPr>
              <w:spacing w:before="40" w:after="40"/>
              <w:rPr>
                <w:rFonts w:cs="Calibri"/>
                <w:sz w:val="18"/>
                <w:szCs w:val="18"/>
              </w:rPr>
            </w:pPr>
            <w:r w:rsidRPr="00A02E13">
              <w:rPr>
                <w:rFonts w:cs="Calibri"/>
                <w:sz w:val="18"/>
                <w:szCs w:val="18"/>
              </w:rPr>
              <w:t>Effectiveness</w:t>
            </w:r>
          </w:p>
        </w:tc>
      </w:tr>
      <w:tr w:rsidR="001E4776" w:rsidRPr="00A02E13" w14:paraId="348351A9" w14:textId="77777777" w:rsidTr="000D76F8">
        <w:trPr>
          <w:jc w:val="center"/>
        </w:trPr>
        <w:tc>
          <w:tcPr>
            <w:tcW w:w="3159" w:type="dxa"/>
            <w:gridSpan w:val="2"/>
            <w:noWrap/>
          </w:tcPr>
          <w:p w14:paraId="1DD280B5" w14:textId="77777777" w:rsidR="001E4776" w:rsidRPr="00A02E13" w:rsidRDefault="001E4776" w:rsidP="000D76F8">
            <w:pPr>
              <w:spacing w:before="40" w:after="40"/>
              <w:rPr>
                <w:rFonts w:cs="Calibri"/>
                <w:b/>
                <w:sz w:val="18"/>
                <w:szCs w:val="18"/>
              </w:rPr>
            </w:pPr>
            <w:r w:rsidRPr="00A02E13">
              <w:rPr>
                <w:rFonts w:cs="Calibri"/>
                <w:b/>
                <w:sz w:val="18"/>
                <w:szCs w:val="18"/>
              </w:rPr>
              <w:t>Secondary domain(s)</w:t>
            </w:r>
          </w:p>
        </w:tc>
        <w:tc>
          <w:tcPr>
            <w:tcW w:w="6855" w:type="dxa"/>
            <w:gridSpan w:val="8"/>
          </w:tcPr>
          <w:p w14:paraId="2FA05255" w14:textId="77777777" w:rsidR="001E4776" w:rsidRPr="00A02E13" w:rsidRDefault="001E4776" w:rsidP="000D76F8">
            <w:pPr>
              <w:spacing w:before="40" w:after="40"/>
              <w:rPr>
                <w:rFonts w:cs="Calibri"/>
                <w:sz w:val="18"/>
                <w:szCs w:val="18"/>
              </w:rPr>
            </w:pPr>
            <w:r w:rsidRPr="00A02E13">
              <w:rPr>
                <w:rFonts w:cs="Calibri"/>
                <w:sz w:val="18"/>
                <w:szCs w:val="18"/>
              </w:rPr>
              <w:t xml:space="preserve">Responsiveness </w:t>
            </w:r>
            <w:proofErr w:type="gramStart"/>
            <w:r w:rsidRPr="00A02E13">
              <w:rPr>
                <w:rFonts w:cs="Calibri"/>
                <w:sz w:val="18"/>
                <w:szCs w:val="18"/>
              </w:rPr>
              <w:t>-  Client</w:t>
            </w:r>
            <w:proofErr w:type="gramEnd"/>
            <w:r w:rsidRPr="00A02E13">
              <w:rPr>
                <w:rFonts w:cs="Calibri"/>
                <w:sz w:val="18"/>
                <w:szCs w:val="18"/>
              </w:rPr>
              <w:t xml:space="preserve"> perception of care</w:t>
            </w:r>
          </w:p>
        </w:tc>
      </w:tr>
      <w:tr w:rsidR="001E4776" w:rsidRPr="00A02E13" w14:paraId="410AE670" w14:textId="77777777" w:rsidTr="000D76F8">
        <w:trPr>
          <w:jc w:val="center"/>
        </w:trPr>
        <w:tc>
          <w:tcPr>
            <w:tcW w:w="3159" w:type="dxa"/>
            <w:gridSpan w:val="2"/>
            <w:noWrap/>
          </w:tcPr>
          <w:p w14:paraId="2CE07E83" w14:textId="77777777" w:rsidR="001E4776" w:rsidRPr="00A02E13" w:rsidRDefault="001E4776" w:rsidP="000D76F8">
            <w:pPr>
              <w:spacing w:before="40" w:after="40"/>
              <w:rPr>
                <w:rFonts w:cs="Calibri"/>
                <w:b/>
                <w:sz w:val="18"/>
                <w:szCs w:val="18"/>
              </w:rPr>
            </w:pPr>
            <w:r w:rsidRPr="00A02E13">
              <w:rPr>
                <w:rFonts w:cs="Calibri"/>
                <w:b/>
                <w:sz w:val="18"/>
                <w:szCs w:val="18"/>
              </w:rPr>
              <w:t>Mental health sub-domain</w:t>
            </w:r>
          </w:p>
        </w:tc>
        <w:tc>
          <w:tcPr>
            <w:tcW w:w="6855" w:type="dxa"/>
            <w:gridSpan w:val="8"/>
          </w:tcPr>
          <w:p w14:paraId="3B623152" w14:textId="77777777" w:rsidR="001E4776" w:rsidRPr="00A02E13" w:rsidRDefault="001E4776" w:rsidP="000D76F8">
            <w:pPr>
              <w:spacing w:before="40" w:after="40"/>
              <w:rPr>
                <w:rFonts w:cs="Calibri"/>
                <w:sz w:val="18"/>
                <w:szCs w:val="18"/>
              </w:rPr>
            </w:pPr>
            <w:r w:rsidRPr="00A02E13">
              <w:rPr>
                <w:rFonts w:cs="Calibri"/>
                <w:sz w:val="18"/>
                <w:szCs w:val="18"/>
              </w:rPr>
              <w:t>Carer outcomes</w:t>
            </w:r>
          </w:p>
        </w:tc>
      </w:tr>
      <w:tr w:rsidR="001E4776" w:rsidRPr="00A02E13" w14:paraId="478A1B2B" w14:textId="77777777" w:rsidTr="000D76F8">
        <w:trPr>
          <w:jc w:val="center"/>
        </w:trPr>
        <w:tc>
          <w:tcPr>
            <w:tcW w:w="3159" w:type="dxa"/>
            <w:gridSpan w:val="2"/>
            <w:noWrap/>
          </w:tcPr>
          <w:p w14:paraId="5A3733BF" w14:textId="77777777" w:rsidR="001E4776" w:rsidRPr="00A02E13" w:rsidRDefault="001E4776" w:rsidP="000D76F8">
            <w:pPr>
              <w:spacing w:before="40" w:after="40"/>
              <w:rPr>
                <w:rFonts w:cs="Calibri"/>
                <w:b/>
                <w:bCs/>
                <w:sz w:val="18"/>
                <w:szCs w:val="18"/>
              </w:rPr>
            </w:pPr>
            <w:r w:rsidRPr="00A02E13">
              <w:rPr>
                <w:rFonts w:cs="Calibri"/>
                <w:b/>
                <w:bCs/>
                <w:sz w:val="18"/>
                <w:szCs w:val="18"/>
              </w:rPr>
              <w:t xml:space="preserve">Type of measure </w:t>
            </w:r>
          </w:p>
        </w:tc>
        <w:tc>
          <w:tcPr>
            <w:tcW w:w="6855" w:type="dxa"/>
            <w:gridSpan w:val="8"/>
          </w:tcPr>
          <w:p w14:paraId="12C91728" w14:textId="77777777" w:rsidR="001E4776" w:rsidRPr="00A02E13" w:rsidRDefault="001E4776" w:rsidP="000D76F8">
            <w:pPr>
              <w:spacing w:before="40" w:after="40"/>
              <w:rPr>
                <w:rFonts w:cs="Calibri"/>
                <w:sz w:val="18"/>
                <w:szCs w:val="18"/>
              </w:rPr>
            </w:pPr>
            <w:r w:rsidRPr="00A02E13">
              <w:rPr>
                <w:rFonts w:cs="Calibri"/>
                <w:sz w:val="18"/>
                <w:szCs w:val="18"/>
              </w:rPr>
              <w:t>Outcome</w:t>
            </w:r>
          </w:p>
        </w:tc>
      </w:tr>
      <w:tr w:rsidR="001E4776" w:rsidRPr="00A02E13" w14:paraId="0B3BCAA3" w14:textId="77777777" w:rsidTr="000D76F8">
        <w:trPr>
          <w:trHeight w:val="102"/>
          <w:jc w:val="center"/>
        </w:trPr>
        <w:tc>
          <w:tcPr>
            <w:tcW w:w="3159" w:type="dxa"/>
            <w:gridSpan w:val="2"/>
            <w:vMerge w:val="restart"/>
            <w:noWrap/>
          </w:tcPr>
          <w:p w14:paraId="18411EF5" w14:textId="77777777" w:rsidR="001E4776" w:rsidRPr="00A02E13" w:rsidRDefault="001E4776" w:rsidP="000D76F8">
            <w:pPr>
              <w:spacing w:before="40" w:after="40"/>
              <w:rPr>
                <w:rFonts w:cs="Calibri"/>
                <w:b/>
                <w:sz w:val="18"/>
                <w:szCs w:val="18"/>
              </w:rPr>
            </w:pPr>
            <w:r w:rsidRPr="00A02E13">
              <w:rPr>
                <w:rFonts w:cs="Calibri"/>
                <w:b/>
                <w:sz w:val="18"/>
                <w:szCs w:val="18"/>
              </w:rPr>
              <w:t>Level at which indicator can be useful for benchmarking</w:t>
            </w:r>
          </w:p>
        </w:tc>
        <w:tc>
          <w:tcPr>
            <w:tcW w:w="2976" w:type="dxa"/>
            <w:gridSpan w:val="3"/>
            <w:vAlign w:val="center"/>
          </w:tcPr>
          <w:p w14:paraId="154D6AC8" w14:textId="77777777" w:rsidR="001E4776" w:rsidRPr="00A02E13" w:rsidRDefault="001E4776" w:rsidP="000D76F8">
            <w:pPr>
              <w:spacing w:before="40" w:after="40"/>
              <w:rPr>
                <w:rFonts w:cs="Calibri"/>
                <w:sz w:val="18"/>
                <w:szCs w:val="18"/>
              </w:rPr>
            </w:pPr>
            <w:r w:rsidRPr="00A02E13">
              <w:rPr>
                <w:rFonts w:cs="Calibri"/>
                <w:sz w:val="18"/>
                <w:szCs w:val="18"/>
              </w:rPr>
              <w:t>Service unit</w:t>
            </w:r>
          </w:p>
        </w:tc>
        <w:tc>
          <w:tcPr>
            <w:tcW w:w="430" w:type="dxa"/>
            <w:vAlign w:val="center"/>
          </w:tcPr>
          <w:p w14:paraId="560642F6" w14:textId="77777777" w:rsidR="001E4776" w:rsidRPr="00A02E13" w:rsidRDefault="001E4776" w:rsidP="000D76F8">
            <w:pPr>
              <w:spacing w:before="40" w:after="40"/>
              <w:rPr>
                <w:rFonts w:cs="Calibri"/>
                <w:sz w:val="18"/>
                <w:szCs w:val="18"/>
              </w:rPr>
            </w:pPr>
            <w:r w:rsidRPr="00A02E13">
              <w:rPr>
                <w:rFonts w:cs="Calibri"/>
                <w:sz w:val="18"/>
                <w:szCs w:val="18"/>
              </w:rPr>
              <w:t>x</w:t>
            </w:r>
          </w:p>
        </w:tc>
        <w:tc>
          <w:tcPr>
            <w:tcW w:w="3060" w:type="dxa"/>
            <w:gridSpan w:val="2"/>
            <w:vAlign w:val="center"/>
          </w:tcPr>
          <w:p w14:paraId="4943BC12" w14:textId="77777777" w:rsidR="001E4776" w:rsidRPr="00A02E13" w:rsidRDefault="001E4776" w:rsidP="000D76F8">
            <w:pPr>
              <w:spacing w:before="40" w:after="40"/>
              <w:rPr>
                <w:rFonts w:cs="Calibri"/>
                <w:sz w:val="18"/>
                <w:szCs w:val="18"/>
              </w:rPr>
            </w:pPr>
            <w:r w:rsidRPr="00A02E13">
              <w:rPr>
                <w:rFonts w:cs="Calibri"/>
                <w:sz w:val="18"/>
                <w:szCs w:val="18"/>
              </w:rPr>
              <w:t>Mental Health Service Organisation</w:t>
            </w:r>
          </w:p>
        </w:tc>
        <w:tc>
          <w:tcPr>
            <w:tcW w:w="389" w:type="dxa"/>
            <w:gridSpan w:val="2"/>
            <w:vAlign w:val="center"/>
          </w:tcPr>
          <w:p w14:paraId="4692DD2C" w14:textId="77777777" w:rsidR="001E4776" w:rsidRPr="00A02E13" w:rsidRDefault="001E4776" w:rsidP="000D76F8">
            <w:pPr>
              <w:spacing w:before="40" w:after="40"/>
              <w:rPr>
                <w:rFonts w:cs="Calibri"/>
                <w:sz w:val="18"/>
                <w:szCs w:val="18"/>
              </w:rPr>
            </w:pPr>
            <w:r w:rsidRPr="00A02E13">
              <w:rPr>
                <w:rFonts w:cs="Calibri"/>
                <w:sz w:val="18"/>
                <w:szCs w:val="18"/>
              </w:rPr>
              <w:t>x</w:t>
            </w:r>
          </w:p>
        </w:tc>
      </w:tr>
      <w:tr w:rsidR="001E4776" w:rsidRPr="00A02E13" w14:paraId="722D1770" w14:textId="77777777" w:rsidTr="000D76F8">
        <w:trPr>
          <w:trHeight w:val="102"/>
          <w:jc w:val="center"/>
        </w:trPr>
        <w:tc>
          <w:tcPr>
            <w:tcW w:w="3159" w:type="dxa"/>
            <w:gridSpan w:val="2"/>
            <w:vMerge/>
            <w:noWrap/>
            <w:vAlign w:val="center"/>
          </w:tcPr>
          <w:p w14:paraId="0FD9870A" w14:textId="77777777" w:rsidR="001E4776" w:rsidRPr="00A02E13" w:rsidRDefault="001E4776" w:rsidP="000D76F8">
            <w:pPr>
              <w:pStyle w:val="StyleBefore2ptAfter2ptLinespacingsingle"/>
              <w:rPr>
                <w:rFonts w:ascii="Calibri" w:hAnsi="Calibri" w:cs="Calibri"/>
                <w:sz w:val="18"/>
                <w:szCs w:val="18"/>
                <w:lang w:eastAsia="en-AU"/>
              </w:rPr>
            </w:pPr>
          </w:p>
        </w:tc>
        <w:tc>
          <w:tcPr>
            <w:tcW w:w="2976" w:type="dxa"/>
            <w:gridSpan w:val="3"/>
            <w:vAlign w:val="center"/>
          </w:tcPr>
          <w:p w14:paraId="271E4A79" w14:textId="77777777" w:rsidR="001E4776" w:rsidRPr="00A02E13" w:rsidRDefault="001E4776" w:rsidP="000D76F8">
            <w:pPr>
              <w:spacing w:before="40" w:after="40"/>
              <w:rPr>
                <w:rFonts w:cs="Calibri"/>
                <w:sz w:val="18"/>
                <w:szCs w:val="18"/>
              </w:rPr>
            </w:pPr>
            <w:r w:rsidRPr="00A02E13">
              <w:rPr>
                <w:rFonts w:cs="Calibri"/>
                <w:sz w:val="18"/>
                <w:szCs w:val="18"/>
              </w:rPr>
              <w:t>Regional group of services</w:t>
            </w:r>
          </w:p>
        </w:tc>
        <w:tc>
          <w:tcPr>
            <w:tcW w:w="430" w:type="dxa"/>
            <w:vAlign w:val="center"/>
          </w:tcPr>
          <w:p w14:paraId="501BD481" w14:textId="77777777" w:rsidR="001E4776" w:rsidRPr="00A02E13" w:rsidRDefault="001E4776" w:rsidP="000D76F8">
            <w:pPr>
              <w:spacing w:before="40" w:after="40"/>
              <w:rPr>
                <w:rFonts w:cs="Calibri"/>
                <w:sz w:val="18"/>
                <w:szCs w:val="18"/>
              </w:rPr>
            </w:pPr>
            <w:r w:rsidRPr="00A02E13">
              <w:rPr>
                <w:rFonts w:cs="Calibri"/>
                <w:sz w:val="18"/>
                <w:szCs w:val="18"/>
              </w:rPr>
              <w:t>x</w:t>
            </w:r>
          </w:p>
        </w:tc>
        <w:tc>
          <w:tcPr>
            <w:tcW w:w="3060" w:type="dxa"/>
            <w:gridSpan w:val="2"/>
            <w:vAlign w:val="center"/>
          </w:tcPr>
          <w:p w14:paraId="56B43CD1" w14:textId="77777777" w:rsidR="001E4776" w:rsidRPr="00A02E13" w:rsidRDefault="001E4776" w:rsidP="000D76F8">
            <w:pPr>
              <w:spacing w:before="40" w:after="40"/>
              <w:rPr>
                <w:rFonts w:cs="Calibri"/>
                <w:sz w:val="18"/>
                <w:szCs w:val="18"/>
              </w:rPr>
            </w:pPr>
            <w:r w:rsidRPr="00A02E13">
              <w:rPr>
                <w:rFonts w:cs="Calibri"/>
                <w:sz w:val="18"/>
                <w:szCs w:val="18"/>
              </w:rPr>
              <w:t>State/Territory</w:t>
            </w:r>
          </w:p>
        </w:tc>
        <w:tc>
          <w:tcPr>
            <w:tcW w:w="389" w:type="dxa"/>
            <w:gridSpan w:val="2"/>
            <w:vAlign w:val="center"/>
          </w:tcPr>
          <w:p w14:paraId="5B8E039A" w14:textId="77777777" w:rsidR="001E4776" w:rsidRPr="00A02E13" w:rsidRDefault="001E4776" w:rsidP="000D76F8">
            <w:pPr>
              <w:spacing w:before="40" w:after="40"/>
              <w:rPr>
                <w:rFonts w:cs="Calibri"/>
                <w:sz w:val="18"/>
                <w:szCs w:val="18"/>
              </w:rPr>
            </w:pPr>
            <w:r w:rsidRPr="00A02E13">
              <w:rPr>
                <w:rFonts w:cs="Calibri"/>
                <w:sz w:val="18"/>
                <w:szCs w:val="18"/>
              </w:rPr>
              <w:t>×</w:t>
            </w:r>
          </w:p>
        </w:tc>
      </w:tr>
      <w:tr w:rsidR="001E4776" w:rsidRPr="00A02E13" w14:paraId="28E5617D" w14:textId="77777777" w:rsidTr="000D76F8">
        <w:trPr>
          <w:jc w:val="center"/>
        </w:trPr>
        <w:tc>
          <w:tcPr>
            <w:tcW w:w="3159" w:type="dxa"/>
            <w:gridSpan w:val="2"/>
            <w:tcBorders>
              <w:bottom w:val="single" w:sz="4" w:space="0" w:color="365F91"/>
            </w:tcBorders>
            <w:noWrap/>
          </w:tcPr>
          <w:p w14:paraId="46E9247D" w14:textId="77777777" w:rsidR="001E4776" w:rsidRPr="00A02E13" w:rsidRDefault="001E4776" w:rsidP="000D76F8">
            <w:pPr>
              <w:spacing w:before="40" w:after="40"/>
              <w:rPr>
                <w:rFonts w:cs="Calibri"/>
                <w:b/>
                <w:bCs/>
                <w:strike/>
                <w:sz w:val="18"/>
                <w:szCs w:val="18"/>
              </w:rPr>
            </w:pPr>
            <w:r w:rsidRPr="00A02E13">
              <w:rPr>
                <w:rFonts w:cs="Calibri"/>
                <w:b/>
                <w:bCs/>
                <w:sz w:val="18"/>
                <w:szCs w:val="18"/>
              </w:rPr>
              <w:t>Related performance indicators and performance benchmarks</w:t>
            </w:r>
          </w:p>
        </w:tc>
        <w:tc>
          <w:tcPr>
            <w:tcW w:w="6855" w:type="dxa"/>
            <w:gridSpan w:val="8"/>
          </w:tcPr>
          <w:p w14:paraId="7929B28A" w14:textId="77777777" w:rsidR="001E4776" w:rsidRPr="00A02E13" w:rsidRDefault="001E4776" w:rsidP="000D76F8">
            <w:pPr>
              <w:spacing w:before="40" w:after="40"/>
              <w:rPr>
                <w:rFonts w:cs="Calibri"/>
                <w:sz w:val="18"/>
                <w:szCs w:val="18"/>
              </w:rPr>
            </w:pPr>
            <w:r w:rsidRPr="00A02E13">
              <w:rPr>
                <w:rFonts w:cs="Calibri"/>
                <w:sz w:val="18"/>
                <w:szCs w:val="18"/>
              </w:rPr>
              <w:t>MHS PI 1 - Change in consumers clinical outcomes</w:t>
            </w:r>
          </w:p>
          <w:p w14:paraId="4FB33DE3" w14:textId="77777777" w:rsidR="001E4776" w:rsidRPr="00A02E13" w:rsidRDefault="001E4776" w:rsidP="000D76F8">
            <w:pPr>
              <w:spacing w:before="40" w:after="40"/>
              <w:rPr>
                <w:rFonts w:cs="Calibri"/>
                <w:sz w:val="18"/>
                <w:szCs w:val="18"/>
              </w:rPr>
            </w:pPr>
            <w:r w:rsidRPr="00A02E13">
              <w:rPr>
                <w:rFonts w:cs="Calibri"/>
                <w:sz w:val="18"/>
                <w:szCs w:val="18"/>
              </w:rPr>
              <w:t xml:space="preserve">MHS PI 6 - Average treatment days per three-month community care period </w:t>
            </w:r>
          </w:p>
          <w:p w14:paraId="2A59FAB8" w14:textId="77777777" w:rsidR="001E4776" w:rsidRPr="00A02E13" w:rsidRDefault="001E4776" w:rsidP="000D76F8">
            <w:pPr>
              <w:spacing w:before="40" w:after="40"/>
              <w:rPr>
                <w:rFonts w:cs="Calibri"/>
                <w:sz w:val="18"/>
                <w:szCs w:val="18"/>
              </w:rPr>
            </w:pPr>
            <w:r w:rsidRPr="00A02E13">
              <w:rPr>
                <w:rFonts w:cs="Calibri"/>
                <w:sz w:val="18"/>
                <w:szCs w:val="18"/>
              </w:rPr>
              <w:t>MHS PI 8 - Population Receiving Care</w:t>
            </w:r>
          </w:p>
          <w:p w14:paraId="58F422BC" w14:textId="77777777" w:rsidR="001E4776" w:rsidRPr="00FB5991" w:rsidRDefault="001E4776" w:rsidP="000D76F8">
            <w:pPr>
              <w:pStyle w:val="Default"/>
              <w:rPr>
                <w:rFonts w:ascii="Calibri" w:hAnsi="Calibri" w:cs="Calibri"/>
                <w:sz w:val="18"/>
                <w:szCs w:val="18"/>
              </w:rPr>
            </w:pPr>
            <w:r w:rsidRPr="005E4EE1">
              <w:rPr>
                <w:rFonts w:ascii="Calibri" w:hAnsi="Calibri" w:cs="Calibri"/>
                <w:color w:val="auto"/>
                <w:sz w:val="18"/>
                <w:szCs w:val="18"/>
                <w:lang w:eastAsia="en-AU"/>
              </w:rPr>
              <w:t xml:space="preserve">MHS PI 13: Consumer outcomes participation </w:t>
            </w:r>
          </w:p>
        </w:tc>
      </w:tr>
      <w:tr w:rsidR="001E4776" w:rsidRPr="00A02E13" w14:paraId="22751BFE" w14:textId="77777777" w:rsidTr="000D76F8">
        <w:trPr>
          <w:jc w:val="center"/>
        </w:trPr>
        <w:tc>
          <w:tcPr>
            <w:tcW w:w="3159" w:type="dxa"/>
            <w:gridSpan w:val="2"/>
            <w:shd w:val="clear" w:color="auto" w:fill="auto"/>
            <w:noWrap/>
          </w:tcPr>
          <w:p w14:paraId="02D9AE10" w14:textId="77777777" w:rsidR="001E4776" w:rsidRPr="00A02E13" w:rsidRDefault="001E4776" w:rsidP="000D76F8">
            <w:pPr>
              <w:spacing w:before="40" w:after="40"/>
              <w:rPr>
                <w:rFonts w:cs="Calibri"/>
                <w:b/>
                <w:bCs/>
                <w:sz w:val="18"/>
                <w:szCs w:val="18"/>
                <w:highlight w:val="yellow"/>
              </w:rPr>
            </w:pPr>
            <w:r w:rsidRPr="00A02E13">
              <w:rPr>
                <w:rFonts w:cs="Calibri"/>
                <w:b/>
                <w:bCs/>
                <w:sz w:val="18"/>
                <w:szCs w:val="18"/>
              </w:rPr>
              <w:t>Supplementary indicators</w:t>
            </w:r>
          </w:p>
        </w:tc>
        <w:tc>
          <w:tcPr>
            <w:tcW w:w="3427" w:type="dxa"/>
            <w:gridSpan w:val="5"/>
          </w:tcPr>
          <w:p w14:paraId="73F75162" w14:textId="77777777" w:rsidR="001E4776" w:rsidRPr="00A02E13" w:rsidRDefault="001E4776" w:rsidP="000D76F8">
            <w:pPr>
              <w:spacing w:before="40" w:after="40"/>
              <w:rPr>
                <w:rFonts w:cs="Calibri"/>
                <w:sz w:val="18"/>
                <w:szCs w:val="18"/>
                <w:highlight w:val="yellow"/>
              </w:rPr>
            </w:pPr>
          </w:p>
        </w:tc>
        <w:tc>
          <w:tcPr>
            <w:tcW w:w="3428" w:type="dxa"/>
            <w:gridSpan w:val="3"/>
          </w:tcPr>
          <w:p w14:paraId="71FA17EF" w14:textId="77777777" w:rsidR="001E4776" w:rsidRPr="00A02E13" w:rsidRDefault="001E4776" w:rsidP="000D76F8">
            <w:pPr>
              <w:spacing w:before="40" w:after="40"/>
              <w:rPr>
                <w:rFonts w:cs="Calibri"/>
                <w:sz w:val="18"/>
                <w:szCs w:val="18"/>
                <w:highlight w:val="yellow"/>
              </w:rPr>
            </w:pPr>
          </w:p>
        </w:tc>
      </w:tr>
      <w:tr w:rsidR="001E4776" w:rsidRPr="00A02E13" w14:paraId="32B4A4A4" w14:textId="77777777" w:rsidTr="000D76F8">
        <w:trPr>
          <w:jc w:val="center"/>
        </w:trPr>
        <w:tc>
          <w:tcPr>
            <w:tcW w:w="10014" w:type="dxa"/>
            <w:gridSpan w:val="10"/>
            <w:shd w:val="clear" w:color="auto" w:fill="DBE5F1"/>
            <w:noWrap/>
          </w:tcPr>
          <w:p w14:paraId="01BFB5F8" w14:textId="77777777" w:rsidR="001E4776" w:rsidRPr="00A02E13" w:rsidRDefault="001E4776" w:rsidP="000D76F8">
            <w:pPr>
              <w:spacing w:before="40" w:after="40"/>
              <w:rPr>
                <w:rFonts w:cs="Calibri"/>
                <w:b/>
                <w:szCs w:val="18"/>
              </w:rPr>
            </w:pPr>
            <w:r w:rsidRPr="00A02E13">
              <w:rPr>
                <w:rFonts w:cs="Calibri"/>
                <w:b/>
                <w:szCs w:val="18"/>
              </w:rPr>
              <w:t>Data collection details</w:t>
            </w:r>
          </w:p>
        </w:tc>
      </w:tr>
      <w:tr w:rsidR="001E4776" w:rsidRPr="00A02E13" w14:paraId="542BA337" w14:textId="77777777" w:rsidTr="000D76F8">
        <w:trPr>
          <w:trHeight w:val="109"/>
          <w:jc w:val="center"/>
        </w:trPr>
        <w:tc>
          <w:tcPr>
            <w:tcW w:w="3159" w:type="dxa"/>
            <w:gridSpan w:val="2"/>
            <w:vMerge w:val="restart"/>
            <w:noWrap/>
          </w:tcPr>
          <w:p w14:paraId="571CEE3D" w14:textId="77777777" w:rsidR="001E4776" w:rsidRPr="00A02E13" w:rsidRDefault="001E4776" w:rsidP="000D76F8">
            <w:pPr>
              <w:spacing w:before="40" w:after="40"/>
              <w:rPr>
                <w:rFonts w:cs="Calibri"/>
                <w:b/>
                <w:sz w:val="18"/>
                <w:szCs w:val="18"/>
              </w:rPr>
            </w:pPr>
            <w:r w:rsidRPr="00A02E13">
              <w:rPr>
                <w:rFonts w:cs="Calibri"/>
                <w:b/>
                <w:sz w:val="18"/>
                <w:szCs w:val="18"/>
              </w:rPr>
              <w:t>Data source(s)</w:t>
            </w:r>
          </w:p>
        </w:tc>
        <w:tc>
          <w:tcPr>
            <w:tcW w:w="1523" w:type="dxa"/>
            <w:gridSpan w:val="2"/>
          </w:tcPr>
          <w:p w14:paraId="0BEC6FA8" w14:textId="77777777" w:rsidR="001E4776" w:rsidRPr="00A02E13" w:rsidRDefault="001E4776" w:rsidP="000D76F8">
            <w:pPr>
              <w:spacing w:before="40" w:after="40"/>
              <w:rPr>
                <w:rFonts w:cs="Calibri"/>
                <w:sz w:val="18"/>
                <w:szCs w:val="18"/>
              </w:rPr>
            </w:pPr>
            <w:r w:rsidRPr="00A02E13">
              <w:rPr>
                <w:rFonts w:cs="Calibri"/>
                <w:sz w:val="18"/>
                <w:szCs w:val="18"/>
              </w:rPr>
              <w:t>Numerator:</w:t>
            </w:r>
          </w:p>
        </w:tc>
        <w:tc>
          <w:tcPr>
            <w:tcW w:w="5332" w:type="dxa"/>
            <w:gridSpan w:val="6"/>
          </w:tcPr>
          <w:p w14:paraId="08843D2D" w14:textId="77777777" w:rsidR="001E4776" w:rsidRPr="00A02E13" w:rsidRDefault="001E4776" w:rsidP="000D76F8">
            <w:pPr>
              <w:spacing w:before="40" w:after="40"/>
              <w:rPr>
                <w:rFonts w:cs="Calibri"/>
                <w:sz w:val="18"/>
                <w:szCs w:val="18"/>
              </w:rPr>
            </w:pPr>
            <w:r w:rsidRPr="00A02E13">
              <w:rPr>
                <w:rFonts w:cs="Calibri"/>
                <w:sz w:val="18"/>
                <w:szCs w:val="18"/>
              </w:rPr>
              <w:t xml:space="preserve">National Outcomes and </w:t>
            </w:r>
            <w:proofErr w:type="spellStart"/>
            <w:r w:rsidRPr="00A02E13">
              <w:rPr>
                <w:rFonts w:cs="Calibri"/>
                <w:sz w:val="18"/>
                <w:szCs w:val="18"/>
              </w:rPr>
              <w:t>Casemix</w:t>
            </w:r>
            <w:proofErr w:type="spellEnd"/>
            <w:r w:rsidRPr="00A02E13">
              <w:rPr>
                <w:rFonts w:cs="Calibri"/>
                <w:sz w:val="18"/>
                <w:szCs w:val="18"/>
              </w:rPr>
              <w:t xml:space="preserve"> Collection</w:t>
            </w:r>
          </w:p>
        </w:tc>
      </w:tr>
      <w:tr w:rsidR="001E4776" w:rsidRPr="00A02E13" w14:paraId="5576D349" w14:textId="77777777" w:rsidTr="000D76F8">
        <w:trPr>
          <w:trHeight w:val="109"/>
          <w:jc w:val="center"/>
        </w:trPr>
        <w:tc>
          <w:tcPr>
            <w:tcW w:w="3159" w:type="dxa"/>
            <w:gridSpan w:val="2"/>
            <w:vMerge/>
            <w:noWrap/>
          </w:tcPr>
          <w:p w14:paraId="292153D7" w14:textId="77777777" w:rsidR="001E4776" w:rsidRPr="00A02E13" w:rsidRDefault="001E4776" w:rsidP="000D76F8">
            <w:pPr>
              <w:spacing w:before="40" w:after="40"/>
              <w:rPr>
                <w:rFonts w:cs="Calibri"/>
                <w:b/>
                <w:sz w:val="18"/>
                <w:szCs w:val="18"/>
              </w:rPr>
            </w:pPr>
          </w:p>
        </w:tc>
        <w:tc>
          <w:tcPr>
            <w:tcW w:w="1523" w:type="dxa"/>
            <w:gridSpan w:val="2"/>
          </w:tcPr>
          <w:p w14:paraId="7E9A374B" w14:textId="77777777" w:rsidR="001E4776" w:rsidRPr="00A02E13" w:rsidRDefault="001E4776" w:rsidP="000D76F8">
            <w:pPr>
              <w:spacing w:before="40" w:after="40"/>
              <w:rPr>
                <w:rFonts w:cs="Calibri"/>
                <w:sz w:val="18"/>
                <w:szCs w:val="18"/>
              </w:rPr>
            </w:pPr>
            <w:r w:rsidRPr="00A02E13">
              <w:rPr>
                <w:rFonts w:cs="Calibri"/>
                <w:sz w:val="18"/>
                <w:szCs w:val="18"/>
              </w:rPr>
              <w:t>Denominator:</w:t>
            </w:r>
          </w:p>
        </w:tc>
        <w:tc>
          <w:tcPr>
            <w:tcW w:w="5332" w:type="dxa"/>
            <w:gridSpan w:val="6"/>
          </w:tcPr>
          <w:p w14:paraId="7D48306D" w14:textId="77777777" w:rsidR="001E4776" w:rsidRPr="00A02E13" w:rsidRDefault="001E4776" w:rsidP="000D76F8">
            <w:pPr>
              <w:spacing w:before="40" w:after="40"/>
              <w:rPr>
                <w:rFonts w:cs="Calibri"/>
                <w:sz w:val="18"/>
                <w:szCs w:val="18"/>
              </w:rPr>
            </w:pPr>
            <w:r w:rsidRPr="00A02E13">
              <w:rPr>
                <w:rFonts w:cs="Calibri"/>
                <w:sz w:val="18"/>
                <w:szCs w:val="18"/>
              </w:rPr>
              <w:t xml:space="preserve">National Outcomes and </w:t>
            </w:r>
            <w:proofErr w:type="spellStart"/>
            <w:r w:rsidRPr="00A02E13">
              <w:rPr>
                <w:rFonts w:cs="Calibri"/>
                <w:sz w:val="18"/>
                <w:szCs w:val="18"/>
              </w:rPr>
              <w:t>Casemix</w:t>
            </w:r>
            <w:proofErr w:type="spellEnd"/>
            <w:r w:rsidRPr="00A02E13">
              <w:rPr>
                <w:rFonts w:cs="Calibri"/>
                <w:sz w:val="18"/>
                <w:szCs w:val="18"/>
              </w:rPr>
              <w:t xml:space="preserve"> Collection</w:t>
            </w:r>
          </w:p>
        </w:tc>
      </w:tr>
      <w:tr w:rsidR="001E4776" w:rsidRPr="00A02E13" w14:paraId="346504AF" w14:textId="77777777" w:rsidTr="000D76F8">
        <w:trPr>
          <w:trHeight w:val="109"/>
          <w:jc w:val="center"/>
        </w:trPr>
        <w:tc>
          <w:tcPr>
            <w:tcW w:w="3159" w:type="dxa"/>
            <w:gridSpan w:val="2"/>
            <w:vMerge w:val="restart"/>
            <w:noWrap/>
          </w:tcPr>
          <w:p w14:paraId="4A9483F1" w14:textId="77777777" w:rsidR="001E4776" w:rsidRPr="00A02E13" w:rsidRDefault="001E4776" w:rsidP="000D76F8">
            <w:pPr>
              <w:spacing w:before="40" w:after="40"/>
              <w:rPr>
                <w:rFonts w:cs="Calibri"/>
                <w:b/>
                <w:sz w:val="18"/>
                <w:szCs w:val="18"/>
              </w:rPr>
            </w:pPr>
            <w:r w:rsidRPr="00A02E13">
              <w:rPr>
                <w:rFonts w:cs="Calibri"/>
                <w:b/>
                <w:sz w:val="18"/>
                <w:szCs w:val="18"/>
              </w:rPr>
              <w:t>Data source(s) type</w:t>
            </w:r>
          </w:p>
        </w:tc>
        <w:tc>
          <w:tcPr>
            <w:tcW w:w="1523" w:type="dxa"/>
            <w:gridSpan w:val="2"/>
          </w:tcPr>
          <w:p w14:paraId="3E968805" w14:textId="77777777" w:rsidR="001E4776" w:rsidRPr="00A02E13" w:rsidRDefault="001E4776" w:rsidP="000D76F8">
            <w:pPr>
              <w:spacing w:before="40" w:after="40"/>
              <w:rPr>
                <w:rFonts w:cs="Calibri"/>
                <w:sz w:val="18"/>
                <w:szCs w:val="18"/>
              </w:rPr>
            </w:pPr>
            <w:r w:rsidRPr="00A02E13">
              <w:rPr>
                <w:rFonts w:cs="Calibri"/>
                <w:sz w:val="18"/>
                <w:szCs w:val="18"/>
              </w:rPr>
              <w:t>Numerator:</w:t>
            </w:r>
          </w:p>
        </w:tc>
        <w:tc>
          <w:tcPr>
            <w:tcW w:w="5332" w:type="dxa"/>
            <w:gridSpan w:val="6"/>
          </w:tcPr>
          <w:p w14:paraId="2FED0EFE" w14:textId="77777777" w:rsidR="001E4776" w:rsidRPr="00A02E13" w:rsidRDefault="001E4776" w:rsidP="000D76F8">
            <w:pPr>
              <w:spacing w:before="40" w:after="40"/>
              <w:rPr>
                <w:rFonts w:cs="Calibri"/>
                <w:sz w:val="18"/>
                <w:szCs w:val="18"/>
              </w:rPr>
            </w:pPr>
            <w:r w:rsidRPr="00A02E13">
              <w:rPr>
                <w:rFonts w:cs="Calibri"/>
                <w:sz w:val="18"/>
                <w:szCs w:val="18"/>
              </w:rPr>
              <w:t>Clinical Outcomes Measure</w:t>
            </w:r>
          </w:p>
        </w:tc>
      </w:tr>
      <w:tr w:rsidR="001E4776" w:rsidRPr="00A02E13" w14:paraId="684862F5" w14:textId="77777777" w:rsidTr="000D76F8">
        <w:trPr>
          <w:trHeight w:val="109"/>
          <w:jc w:val="center"/>
        </w:trPr>
        <w:tc>
          <w:tcPr>
            <w:tcW w:w="3159" w:type="dxa"/>
            <w:gridSpan w:val="2"/>
            <w:vMerge/>
            <w:noWrap/>
          </w:tcPr>
          <w:p w14:paraId="22718252" w14:textId="77777777" w:rsidR="001E4776" w:rsidRPr="00A02E13" w:rsidRDefault="001E4776" w:rsidP="000D76F8">
            <w:pPr>
              <w:spacing w:before="40" w:after="40"/>
              <w:rPr>
                <w:rFonts w:cs="Calibri"/>
                <w:b/>
                <w:sz w:val="18"/>
                <w:szCs w:val="18"/>
              </w:rPr>
            </w:pPr>
          </w:p>
        </w:tc>
        <w:tc>
          <w:tcPr>
            <w:tcW w:w="1523" w:type="dxa"/>
            <w:gridSpan w:val="2"/>
          </w:tcPr>
          <w:p w14:paraId="77A147F9" w14:textId="77777777" w:rsidR="001E4776" w:rsidRPr="00A02E13" w:rsidRDefault="001E4776" w:rsidP="000D76F8">
            <w:pPr>
              <w:spacing w:before="40" w:after="40"/>
              <w:rPr>
                <w:rFonts w:cs="Calibri"/>
                <w:sz w:val="18"/>
                <w:szCs w:val="18"/>
              </w:rPr>
            </w:pPr>
            <w:r w:rsidRPr="00A02E13">
              <w:rPr>
                <w:rFonts w:cs="Calibri"/>
                <w:sz w:val="18"/>
                <w:szCs w:val="18"/>
              </w:rPr>
              <w:t>Denominator:</w:t>
            </w:r>
          </w:p>
        </w:tc>
        <w:tc>
          <w:tcPr>
            <w:tcW w:w="5332" w:type="dxa"/>
            <w:gridSpan w:val="6"/>
          </w:tcPr>
          <w:p w14:paraId="0153008A" w14:textId="77777777" w:rsidR="001E4776" w:rsidRPr="00A02E13" w:rsidRDefault="001E4776" w:rsidP="000D76F8">
            <w:pPr>
              <w:spacing w:before="40" w:after="40"/>
              <w:rPr>
                <w:rFonts w:cs="Calibri"/>
                <w:sz w:val="18"/>
                <w:szCs w:val="18"/>
              </w:rPr>
            </w:pPr>
            <w:r w:rsidRPr="00A02E13">
              <w:rPr>
                <w:rFonts w:cs="Calibri"/>
                <w:sz w:val="18"/>
                <w:szCs w:val="18"/>
              </w:rPr>
              <w:t>Clinical Outcomes Measure</w:t>
            </w:r>
          </w:p>
        </w:tc>
      </w:tr>
      <w:tr w:rsidR="001E4776" w:rsidRPr="00A02E13" w14:paraId="639630F8" w14:textId="77777777" w:rsidTr="000D76F8">
        <w:trPr>
          <w:trHeight w:val="109"/>
          <w:jc w:val="center"/>
        </w:trPr>
        <w:tc>
          <w:tcPr>
            <w:tcW w:w="3159" w:type="dxa"/>
            <w:gridSpan w:val="2"/>
            <w:vMerge w:val="restart"/>
            <w:noWrap/>
          </w:tcPr>
          <w:p w14:paraId="3C092D05" w14:textId="77777777" w:rsidR="001E4776" w:rsidRPr="00A02E13" w:rsidRDefault="001E4776" w:rsidP="000D76F8">
            <w:pPr>
              <w:spacing w:before="40" w:after="40"/>
              <w:rPr>
                <w:rFonts w:cs="Calibri"/>
                <w:b/>
                <w:sz w:val="18"/>
                <w:szCs w:val="18"/>
              </w:rPr>
            </w:pPr>
            <w:r w:rsidRPr="00A02E13">
              <w:rPr>
                <w:rFonts w:cs="Calibri"/>
                <w:b/>
                <w:sz w:val="18"/>
                <w:szCs w:val="18"/>
              </w:rPr>
              <w:t>Frequency of data source(s) collection</w:t>
            </w:r>
          </w:p>
        </w:tc>
        <w:tc>
          <w:tcPr>
            <w:tcW w:w="1523" w:type="dxa"/>
            <w:gridSpan w:val="2"/>
          </w:tcPr>
          <w:p w14:paraId="4710D9DB" w14:textId="77777777" w:rsidR="001E4776" w:rsidRPr="00A02E13" w:rsidRDefault="001E4776" w:rsidP="000D76F8">
            <w:pPr>
              <w:spacing w:before="40" w:after="40"/>
              <w:rPr>
                <w:rFonts w:cs="Calibri"/>
                <w:sz w:val="18"/>
                <w:szCs w:val="18"/>
              </w:rPr>
            </w:pPr>
            <w:r w:rsidRPr="00A02E13">
              <w:rPr>
                <w:rFonts w:cs="Calibri"/>
                <w:sz w:val="18"/>
                <w:szCs w:val="18"/>
              </w:rPr>
              <w:t>Numerator:</w:t>
            </w:r>
          </w:p>
        </w:tc>
        <w:tc>
          <w:tcPr>
            <w:tcW w:w="5332" w:type="dxa"/>
            <w:gridSpan w:val="6"/>
          </w:tcPr>
          <w:p w14:paraId="6C827382" w14:textId="77777777" w:rsidR="001E4776" w:rsidRPr="00A02E13" w:rsidRDefault="001E4776" w:rsidP="000D76F8">
            <w:pPr>
              <w:spacing w:before="40" w:after="40"/>
              <w:rPr>
                <w:rFonts w:cs="Calibri"/>
                <w:sz w:val="18"/>
                <w:szCs w:val="18"/>
              </w:rPr>
            </w:pPr>
            <w:r w:rsidRPr="00A02E13">
              <w:rPr>
                <w:rFonts w:cs="Calibri"/>
                <w:sz w:val="18"/>
                <w:szCs w:val="18"/>
              </w:rPr>
              <w:t>Annual</w:t>
            </w:r>
          </w:p>
        </w:tc>
      </w:tr>
      <w:tr w:rsidR="001E4776" w:rsidRPr="00A02E13" w14:paraId="35AF67EF" w14:textId="77777777" w:rsidTr="000D76F8">
        <w:trPr>
          <w:trHeight w:val="109"/>
          <w:jc w:val="center"/>
        </w:trPr>
        <w:tc>
          <w:tcPr>
            <w:tcW w:w="3159" w:type="dxa"/>
            <w:gridSpan w:val="2"/>
            <w:vMerge/>
            <w:noWrap/>
          </w:tcPr>
          <w:p w14:paraId="13E185EB" w14:textId="77777777" w:rsidR="001E4776" w:rsidRPr="00A02E13" w:rsidRDefault="001E4776" w:rsidP="000D76F8">
            <w:pPr>
              <w:spacing w:before="40" w:after="40"/>
              <w:rPr>
                <w:rFonts w:cs="Calibri"/>
                <w:b/>
                <w:sz w:val="18"/>
                <w:szCs w:val="18"/>
              </w:rPr>
            </w:pPr>
          </w:p>
        </w:tc>
        <w:tc>
          <w:tcPr>
            <w:tcW w:w="1523" w:type="dxa"/>
            <w:gridSpan w:val="2"/>
          </w:tcPr>
          <w:p w14:paraId="4DDB4A75" w14:textId="77777777" w:rsidR="001E4776" w:rsidRPr="00A02E13" w:rsidRDefault="001E4776" w:rsidP="000D76F8">
            <w:pPr>
              <w:spacing w:before="40" w:after="40"/>
              <w:rPr>
                <w:rFonts w:cs="Calibri"/>
                <w:sz w:val="18"/>
                <w:szCs w:val="18"/>
              </w:rPr>
            </w:pPr>
            <w:r w:rsidRPr="00A02E13">
              <w:rPr>
                <w:rFonts w:cs="Calibri"/>
                <w:sz w:val="18"/>
                <w:szCs w:val="18"/>
              </w:rPr>
              <w:t>Denominator:</w:t>
            </w:r>
          </w:p>
        </w:tc>
        <w:tc>
          <w:tcPr>
            <w:tcW w:w="5332" w:type="dxa"/>
            <w:gridSpan w:val="6"/>
          </w:tcPr>
          <w:p w14:paraId="70C44C48" w14:textId="77777777" w:rsidR="001E4776" w:rsidRPr="00A02E13" w:rsidRDefault="001E4776" w:rsidP="000D76F8">
            <w:pPr>
              <w:spacing w:before="40" w:after="40"/>
              <w:rPr>
                <w:rFonts w:cs="Calibri"/>
                <w:sz w:val="18"/>
                <w:szCs w:val="18"/>
              </w:rPr>
            </w:pPr>
            <w:r w:rsidRPr="00A02E13">
              <w:rPr>
                <w:rFonts w:cs="Calibri"/>
                <w:sz w:val="18"/>
                <w:szCs w:val="18"/>
              </w:rPr>
              <w:t>Annual</w:t>
            </w:r>
          </w:p>
        </w:tc>
      </w:tr>
      <w:tr w:rsidR="001E4776" w:rsidRPr="00A02E13" w14:paraId="2B678E8F" w14:textId="77777777" w:rsidTr="000D76F8">
        <w:trPr>
          <w:trHeight w:val="109"/>
          <w:jc w:val="center"/>
        </w:trPr>
        <w:tc>
          <w:tcPr>
            <w:tcW w:w="3159" w:type="dxa"/>
            <w:gridSpan w:val="2"/>
            <w:vMerge w:val="restart"/>
            <w:noWrap/>
          </w:tcPr>
          <w:p w14:paraId="25330661" w14:textId="77777777" w:rsidR="001E4776" w:rsidRPr="00A02E13" w:rsidRDefault="001E4776" w:rsidP="000D76F8">
            <w:pPr>
              <w:spacing w:before="40" w:after="40"/>
              <w:rPr>
                <w:rFonts w:cs="Calibri"/>
                <w:b/>
                <w:sz w:val="18"/>
                <w:szCs w:val="18"/>
              </w:rPr>
            </w:pPr>
            <w:r w:rsidRPr="00A02E13">
              <w:rPr>
                <w:rFonts w:cs="Calibri"/>
                <w:b/>
                <w:sz w:val="18"/>
                <w:szCs w:val="18"/>
              </w:rPr>
              <w:t>Data development</w:t>
            </w:r>
          </w:p>
        </w:tc>
        <w:tc>
          <w:tcPr>
            <w:tcW w:w="1523" w:type="dxa"/>
            <w:gridSpan w:val="2"/>
          </w:tcPr>
          <w:p w14:paraId="318886D0" w14:textId="77777777" w:rsidR="001E4776" w:rsidRPr="00A02E13" w:rsidRDefault="001E4776" w:rsidP="000D76F8">
            <w:pPr>
              <w:spacing w:before="40" w:after="40"/>
              <w:rPr>
                <w:rFonts w:cs="Calibri"/>
                <w:sz w:val="18"/>
                <w:szCs w:val="18"/>
              </w:rPr>
            </w:pPr>
            <w:r w:rsidRPr="00A02E13">
              <w:rPr>
                <w:rFonts w:cs="Calibri"/>
                <w:sz w:val="18"/>
                <w:szCs w:val="18"/>
              </w:rPr>
              <w:t>Short-term:</w:t>
            </w:r>
          </w:p>
        </w:tc>
        <w:tc>
          <w:tcPr>
            <w:tcW w:w="5332" w:type="dxa"/>
            <w:gridSpan w:val="6"/>
          </w:tcPr>
          <w:p w14:paraId="5DA8AFA7" w14:textId="77777777" w:rsidR="001E4776" w:rsidRPr="00A02E13" w:rsidRDefault="001E4776" w:rsidP="000D76F8">
            <w:pPr>
              <w:spacing w:before="40" w:after="40"/>
              <w:rPr>
                <w:rFonts w:cs="Calibri"/>
                <w:sz w:val="18"/>
                <w:szCs w:val="18"/>
              </w:rPr>
            </w:pPr>
            <w:r w:rsidRPr="00A02E13">
              <w:rPr>
                <w:rFonts w:cs="Calibri"/>
                <w:sz w:val="18"/>
                <w:szCs w:val="18"/>
              </w:rPr>
              <w:t>None required in instrument or protocol or data storage</w:t>
            </w:r>
          </w:p>
        </w:tc>
      </w:tr>
      <w:tr w:rsidR="001E4776" w:rsidRPr="00A02E13" w14:paraId="69529E09" w14:textId="77777777" w:rsidTr="000D76F8">
        <w:trPr>
          <w:trHeight w:val="108"/>
          <w:jc w:val="center"/>
        </w:trPr>
        <w:tc>
          <w:tcPr>
            <w:tcW w:w="3159" w:type="dxa"/>
            <w:gridSpan w:val="2"/>
            <w:vMerge/>
            <w:shd w:val="clear" w:color="auto" w:fill="FFCC99"/>
            <w:noWrap/>
          </w:tcPr>
          <w:p w14:paraId="3ED4C536" w14:textId="77777777" w:rsidR="001E4776" w:rsidRPr="00A02E13" w:rsidRDefault="001E4776" w:rsidP="000D76F8">
            <w:pPr>
              <w:spacing w:before="40" w:after="40"/>
              <w:rPr>
                <w:rFonts w:cs="Calibri"/>
                <w:sz w:val="18"/>
                <w:szCs w:val="18"/>
              </w:rPr>
            </w:pPr>
          </w:p>
        </w:tc>
        <w:tc>
          <w:tcPr>
            <w:tcW w:w="1523" w:type="dxa"/>
            <w:gridSpan w:val="2"/>
          </w:tcPr>
          <w:p w14:paraId="039E8A7A" w14:textId="77777777" w:rsidR="001E4776" w:rsidRPr="00A02E13" w:rsidRDefault="001E4776" w:rsidP="000D76F8">
            <w:pPr>
              <w:spacing w:before="40" w:after="40"/>
              <w:rPr>
                <w:rFonts w:cs="Calibri"/>
                <w:sz w:val="18"/>
                <w:szCs w:val="18"/>
              </w:rPr>
            </w:pPr>
            <w:r w:rsidRPr="00A02E13">
              <w:rPr>
                <w:rFonts w:cs="Calibri"/>
                <w:sz w:val="18"/>
                <w:szCs w:val="18"/>
              </w:rPr>
              <w:t>Medium-term:</w:t>
            </w:r>
          </w:p>
        </w:tc>
        <w:tc>
          <w:tcPr>
            <w:tcW w:w="5332" w:type="dxa"/>
            <w:gridSpan w:val="6"/>
          </w:tcPr>
          <w:p w14:paraId="74332656" w14:textId="77777777" w:rsidR="001E4776" w:rsidRPr="00A02E13" w:rsidRDefault="001E4776" w:rsidP="000D76F8">
            <w:pPr>
              <w:spacing w:before="40" w:after="40"/>
              <w:rPr>
                <w:rFonts w:cs="Calibri"/>
                <w:sz w:val="18"/>
                <w:szCs w:val="18"/>
              </w:rPr>
            </w:pPr>
            <w:r w:rsidRPr="00A02E13">
              <w:rPr>
                <w:rFonts w:cs="Calibri"/>
                <w:sz w:val="18"/>
                <w:szCs w:val="18"/>
              </w:rPr>
              <w:t>None required</w:t>
            </w:r>
          </w:p>
        </w:tc>
      </w:tr>
      <w:tr w:rsidR="001E4776" w:rsidRPr="00A02E13" w14:paraId="44C22633" w14:textId="77777777" w:rsidTr="000D76F8">
        <w:trPr>
          <w:trHeight w:val="108"/>
          <w:jc w:val="center"/>
        </w:trPr>
        <w:tc>
          <w:tcPr>
            <w:tcW w:w="3159" w:type="dxa"/>
            <w:gridSpan w:val="2"/>
            <w:vMerge/>
            <w:shd w:val="clear" w:color="auto" w:fill="FFCC99"/>
            <w:noWrap/>
          </w:tcPr>
          <w:p w14:paraId="2185B595" w14:textId="77777777" w:rsidR="001E4776" w:rsidRPr="00A02E13" w:rsidRDefault="001E4776" w:rsidP="000D76F8">
            <w:pPr>
              <w:spacing w:before="40" w:after="40"/>
              <w:rPr>
                <w:rFonts w:cs="Calibri"/>
                <w:sz w:val="18"/>
                <w:szCs w:val="18"/>
              </w:rPr>
            </w:pPr>
          </w:p>
        </w:tc>
        <w:tc>
          <w:tcPr>
            <w:tcW w:w="1523" w:type="dxa"/>
            <w:gridSpan w:val="2"/>
          </w:tcPr>
          <w:p w14:paraId="2193E7B4" w14:textId="77777777" w:rsidR="001E4776" w:rsidRPr="00A02E13" w:rsidRDefault="001E4776" w:rsidP="000D76F8">
            <w:pPr>
              <w:spacing w:before="40" w:after="40"/>
              <w:rPr>
                <w:rFonts w:cs="Calibri"/>
                <w:sz w:val="18"/>
                <w:szCs w:val="18"/>
              </w:rPr>
            </w:pPr>
            <w:r w:rsidRPr="00A02E13">
              <w:rPr>
                <w:rFonts w:cs="Calibri"/>
                <w:sz w:val="18"/>
                <w:szCs w:val="18"/>
              </w:rPr>
              <w:t>Long-term:</w:t>
            </w:r>
          </w:p>
        </w:tc>
        <w:tc>
          <w:tcPr>
            <w:tcW w:w="5332" w:type="dxa"/>
            <w:gridSpan w:val="6"/>
          </w:tcPr>
          <w:p w14:paraId="422C9E4F" w14:textId="77777777" w:rsidR="001E4776" w:rsidRPr="00A02E13" w:rsidRDefault="001E4776" w:rsidP="000D76F8">
            <w:pPr>
              <w:spacing w:before="40" w:after="40"/>
              <w:rPr>
                <w:rFonts w:cs="Calibri"/>
                <w:sz w:val="18"/>
                <w:szCs w:val="18"/>
              </w:rPr>
            </w:pPr>
            <w:r w:rsidRPr="00A02E13">
              <w:rPr>
                <w:rFonts w:cs="Calibri"/>
                <w:sz w:val="18"/>
                <w:szCs w:val="18"/>
              </w:rPr>
              <w:t>None required</w:t>
            </w:r>
          </w:p>
        </w:tc>
      </w:tr>
      <w:tr w:rsidR="001E4776" w:rsidRPr="00A02E13" w14:paraId="274E9460" w14:textId="77777777" w:rsidTr="000D76F8">
        <w:trPr>
          <w:gridBefore w:val="1"/>
          <w:gridAfter w:val="1"/>
          <w:wBefore w:w="67" w:type="dxa"/>
          <w:wAfter w:w="24" w:type="dxa"/>
          <w:jc w:val="center"/>
        </w:trPr>
        <w:tc>
          <w:tcPr>
            <w:tcW w:w="9923" w:type="dxa"/>
            <w:gridSpan w:val="8"/>
            <w:shd w:val="clear" w:color="auto" w:fill="DBE5F1"/>
            <w:noWrap/>
          </w:tcPr>
          <w:p w14:paraId="674042C6" w14:textId="77777777" w:rsidR="001E4776" w:rsidRPr="00A02E13" w:rsidRDefault="001E4776" w:rsidP="000D76F8">
            <w:pPr>
              <w:spacing w:before="40" w:after="40"/>
              <w:rPr>
                <w:rFonts w:cs="Calibri"/>
                <w:b/>
                <w:szCs w:val="18"/>
              </w:rPr>
            </w:pPr>
            <w:r w:rsidRPr="00A02E13">
              <w:rPr>
                <w:rFonts w:cs="Calibri"/>
                <w:b/>
                <w:szCs w:val="18"/>
              </w:rPr>
              <w:t>Construction of indicator from national data sets</w:t>
            </w:r>
          </w:p>
        </w:tc>
      </w:tr>
      <w:tr w:rsidR="001E4776" w:rsidRPr="00A02E13" w14:paraId="04E0CA36" w14:textId="77777777" w:rsidTr="000D76F8">
        <w:trPr>
          <w:gridBefore w:val="1"/>
          <w:gridAfter w:val="1"/>
          <w:wBefore w:w="67" w:type="dxa"/>
          <w:wAfter w:w="24" w:type="dxa"/>
          <w:trHeight w:val="108"/>
          <w:jc w:val="center"/>
        </w:trPr>
        <w:tc>
          <w:tcPr>
            <w:tcW w:w="3372" w:type="dxa"/>
            <w:gridSpan w:val="2"/>
            <w:shd w:val="clear" w:color="auto" w:fill="auto"/>
            <w:noWrap/>
          </w:tcPr>
          <w:p w14:paraId="0C9EF6AD" w14:textId="77777777" w:rsidR="001E4776" w:rsidRPr="00A02E13" w:rsidRDefault="001E4776" w:rsidP="000D76F8">
            <w:pPr>
              <w:spacing w:before="40" w:after="40"/>
              <w:rPr>
                <w:sz w:val="18"/>
                <w:szCs w:val="18"/>
              </w:rPr>
            </w:pPr>
            <w:r w:rsidRPr="00A02E13">
              <w:rPr>
                <w:sz w:val="18"/>
                <w:szCs w:val="18"/>
              </w:rPr>
              <w:lastRenderedPageBreak/>
              <w:t>Capacity for the indicator to be constructed accurately from currently available national datasets?</w:t>
            </w:r>
          </w:p>
        </w:tc>
        <w:tc>
          <w:tcPr>
            <w:tcW w:w="6551" w:type="dxa"/>
            <w:gridSpan w:val="6"/>
          </w:tcPr>
          <w:p w14:paraId="496A0F7B" w14:textId="77777777" w:rsidR="001E4776" w:rsidRPr="00A02E13" w:rsidRDefault="001E4776" w:rsidP="000D76F8">
            <w:pPr>
              <w:spacing w:before="40" w:after="40"/>
              <w:rPr>
                <w:rFonts w:cs="Calibri"/>
                <w:sz w:val="18"/>
                <w:szCs w:val="18"/>
              </w:rPr>
            </w:pPr>
            <w:r w:rsidRPr="00A02E13">
              <w:rPr>
                <w:rFonts w:cs="Calibri"/>
                <w:sz w:val="18"/>
                <w:szCs w:val="18"/>
              </w:rPr>
              <w:t>Available now</w:t>
            </w:r>
            <w:r>
              <w:rPr>
                <w:rFonts w:cs="Calibri"/>
                <w:sz w:val="18"/>
                <w:szCs w:val="18"/>
              </w:rPr>
              <w:t xml:space="preserve">. </w:t>
            </w:r>
            <w:r w:rsidRPr="005204AD">
              <w:rPr>
                <w:rFonts w:cs="Calibri"/>
                <w:sz w:val="18"/>
                <w:szCs w:val="18"/>
              </w:rPr>
              <w:t xml:space="preserve">The National Outcomes and </w:t>
            </w:r>
            <w:proofErr w:type="spellStart"/>
            <w:r w:rsidRPr="005204AD">
              <w:rPr>
                <w:rFonts w:cs="Calibri"/>
                <w:sz w:val="18"/>
                <w:szCs w:val="18"/>
              </w:rPr>
              <w:t>Casemix</w:t>
            </w:r>
            <w:proofErr w:type="spellEnd"/>
            <w:r w:rsidRPr="005204AD">
              <w:rPr>
                <w:rFonts w:cs="Calibri"/>
                <w:sz w:val="18"/>
                <w:szCs w:val="18"/>
              </w:rPr>
              <w:t xml:space="preserve"> Collection (NOCC) maintained by the Department of Health and Ageing compiles all state and territory consumer outcomes data on an annual data submission basis. However, NOCC does not allow linkage of episodes of care across financial years. </w:t>
            </w:r>
            <w:r w:rsidRPr="005204AD">
              <w:rPr>
                <w:rFonts w:cs="Calibri"/>
                <w:iCs/>
                <w:sz w:val="18"/>
                <w:szCs w:val="18"/>
              </w:rPr>
              <w:t>This limitation does not exist for states and territories own data sets.</w:t>
            </w:r>
          </w:p>
        </w:tc>
      </w:tr>
      <w:tr w:rsidR="001E4776" w:rsidRPr="00A02E13" w14:paraId="5E25356B" w14:textId="77777777" w:rsidTr="000D76F8">
        <w:trPr>
          <w:gridBefore w:val="1"/>
          <w:gridAfter w:val="1"/>
          <w:wBefore w:w="67" w:type="dxa"/>
          <w:wAfter w:w="24" w:type="dxa"/>
          <w:trHeight w:val="108"/>
          <w:jc w:val="center"/>
        </w:trPr>
        <w:tc>
          <w:tcPr>
            <w:tcW w:w="3372" w:type="dxa"/>
            <w:gridSpan w:val="2"/>
            <w:shd w:val="clear" w:color="auto" w:fill="auto"/>
            <w:noWrap/>
          </w:tcPr>
          <w:p w14:paraId="3EBA3C01" w14:textId="77777777" w:rsidR="001E4776" w:rsidRPr="00A02E13" w:rsidRDefault="001E4776" w:rsidP="000D76F8">
            <w:pPr>
              <w:spacing w:before="40" w:after="40"/>
              <w:rPr>
                <w:sz w:val="18"/>
                <w:szCs w:val="18"/>
              </w:rPr>
            </w:pPr>
            <w:r w:rsidRPr="00A02E13">
              <w:rPr>
                <w:sz w:val="18"/>
                <w:szCs w:val="18"/>
              </w:rPr>
              <w:t>If not, is there a proxy solution to construct the indicator from available national data?</w:t>
            </w:r>
          </w:p>
        </w:tc>
        <w:tc>
          <w:tcPr>
            <w:tcW w:w="6551" w:type="dxa"/>
            <w:gridSpan w:val="6"/>
          </w:tcPr>
          <w:p w14:paraId="099CC9A9" w14:textId="77777777" w:rsidR="001E4776" w:rsidRPr="005204AD" w:rsidRDefault="001E4776" w:rsidP="000D76F8">
            <w:pPr>
              <w:spacing w:before="40" w:after="40"/>
              <w:rPr>
                <w:rFonts w:cs="Calibri"/>
                <w:sz w:val="18"/>
                <w:szCs w:val="18"/>
              </w:rPr>
            </w:pPr>
            <w:r w:rsidRPr="005204AD">
              <w:rPr>
                <w:rFonts w:cs="Calibri"/>
                <w:sz w:val="18"/>
                <w:szCs w:val="18"/>
              </w:rPr>
              <w:t xml:space="preserve">A proxy solution using a </w:t>
            </w:r>
            <w:proofErr w:type="gramStart"/>
            <w:r w:rsidRPr="005204AD">
              <w:rPr>
                <w:rFonts w:cs="Calibri"/>
                <w:sz w:val="18"/>
                <w:szCs w:val="18"/>
              </w:rPr>
              <w:t>sub set</w:t>
            </w:r>
            <w:proofErr w:type="gramEnd"/>
            <w:r w:rsidRPr="005204AD">
              <w:rPr>
                <w:rFonts w:cs="Calibri"/>
                <w:sz w:val="18"/>
                <w:szCs w:val="18"/>
              </w:rPr>
              <w:t xml:space="preserve"> of episodes, which have commenced within the same financial year, is utilised for producing this indicator from NOCC.</w:t>
            </w:r>
          </w:p>
          <w:p w14:paraId="5EF0FCF5" w14:textId="77777777" w:rsidR="001E4776" w:rsidRPr="00A02E13" w:rsidRDefault="001E4776" w:rsidP="000D76F8">
            <w:pPr>
              <w:spacing w:before="40" w:after="40"/>
              <w:rPr>
                <w:rFonts w:cs="Calibri"/>
                <w:sz w:val="18"/>
                <w:szCs w:val="18"/>
              </w:rPr>
            </w:pPr>
            <w:r w:rsidRPr="005204AD">
              <w:rPr>
                <w:rFonts w:cs="Calibri"/>
                <w:sz w:val="18"/>
                <w:szCs w:val="18"/>
              </w:rPr>
              <w:t>Compared to data constructed from state and territory datasets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rsidR="001E4776" w:rsidRPr="00A02E13" w14:paraId="4B3E4E53" w14:textId="77777777" w:rsidTr="000D76F8">
        <w:trPr>
          <w:gridBefore w:val="1"/>
          <w:gridAfter w:val="1"/>
          <w:wBefore w:w="67" w:type="dxa"/>
          <w:wAfter w:w="24" w:type="dxa"/>
          <w:trHeight w:val="108"/>
          <w:jc w:val="center"/>
        </w:trPr>
        <w:tc>
          <w:tcPr>
            <w:tcW w:w="3372" w:type="dxa"/>
            <w:gridSpan w:val="2"/>
            <w:shd w:val="clear" w:color="auto" w:fill="auto"/>
            <w:noWrap/>
          </w:tcPr>
          <w:p w14:paraId="547F31B9" w14:textId="77777777" w:rsidR="001E4776" w:rsidRPr="00A02E13" w:rsidRDefault="001E4776" w:rsidP="000D76F8">
            <w:pPr>
              <w:spacing w:before="40" w:after="40"/>
              <w:rPr>
                <w:sz w:val="18"/>
                <w:szCs w:val="18"/>
              </w:rPr>
            </w:pPr>
            <w:r w:rsidRPr="00A02E13">
              <w:rPr>
                <w:sz w:val="18"/>
                <w:szCs w:val="18"/>
              </w:rPr>
              <w:t>What needs to be done in the longer term to allow this indicator to be constructed from national dataset?</w:t>
            </w:r>
          </w:p>
        </w:tc>
        <w:tc>
          <w:tcPr>
            <w:tcW w:w="6551" w:type="dxa"/>
            <w:gridSpan w:val="6"/>
          </w:tcPr>
          <w:p w14:paraId="2EA3569B" w14:textId="77777777" w:rsidR="001E4776" w:rsidRPr="00A02E13" w:rsidRDefault="001E4776" w:rsidP="000D76F8">
            <w:pPr>
              <w:spacing w:before="40" w:after="40"/>
              <w:rPr>
                <w:rFonts w:cs="Calibri"/>
                <w:sz w:val="18"/>
                <w:szCs w:val="18"/>
              </w:rPr>
            </w:pPr>
            <w:r w:rsidRPr="005204AD">
              <w:rPr>
                <w:rFonts w:cs="Calibri"/>
                <w:sz w:val="18"/>
                <w:szCs w:val="18"/>
              </w:rPr>
              <w:t xml:space="preserve">Longer term, a process is needed that allows data reported by states and territories to the national collection for consumers who begin an episode </w:t>
            </w:r>
            <w:proofErr w:type="gramStart"/>
            <w:r w:rsidRPr="005204AD">
              <w:rPr>
                <w:rFonts w:cs="Calibri"/>
                <w:sz w:val="18"/>
                <w:szCs w:val="18"/>
              </w:rPr>
              <w:t>in a given year</w:t>
            </w:r>
            <w:proofErr w:type="gramEnd"/>
            <w:r w:rsidRPr="005204AD">
              <w:rPr>
                <w:rFonts w:cs="Calibri"/>
                <w:sz w:val="18"/>
                <w:szCs w:val="18"/>
              </w:rPr>
              <w:t xml:space="preserve"> to be tracked when the episode continues into subsequent years. Work is underway to build in an episode identifier into NOCC. Additionally, consistent, cross-year use of service identifiers and unique identifiers for consumers by states and territories is necessary to enable full capacity to construct this indicator using NOCC.</w:t>
            </w:r>
          </w:p>
        </w:tc>
      </w:tr>
    </w:tbl>
    <w:p w14:paraId="304FB413" w14:textId="77777777" w:rsidR="00F76972" w:rsidRDefault="00F76972" w:rsidP="00350F47">
      <w:pPr>
        <w:sectPr w:rsidR="00F76972" w:rsidSect="00CD1D61">
          <w:headerReference w:type="default" r:id="rId9"/>
          <w:footerReference w:type="even" r:id="rId10"/>
          <w:footerReference w:type="default" r:id="rId11"/>
          <w:type w:val="oddPage"/>
          <w:pgSz w:w="11906" w:h="16838" w:code="9"/>
          <w:pgMar w:top="1418" w:right="1418" w:bottom="1701" w:left="1418" w:header="1134" w:footer="567" w:gutter="0"/>
          <w:pgNumType w:start="1"/>
          <w:cols w:space="708"/>
          <w:docGrid w:linePitch="360"/>
        </w:sectPr>
      </w:pPr>
    </w:p>
    <w:tbl>
      <w:tblPr>
        <w:tblW w:w="10014" w:type="dxa"/>
        <w:jc w:val="center"/>
        <w:tblBorders>
          <w:top w:val="single" w:sz="4" w:space="0" w:color="365F91"/>
          <w:bottom w:val="single" w:sz="4" w:space="0" w:color="365F91"/>
          <w:insideH w:val="single" w:sz="4" w:space="0" w:color="365F91"/>
        </w:tblBorders>
        <w:tblLayout w:type="fixed"/>
        <w:tblLook w:val="0000" w:firstRow="0" w:lastRow="0" w:firstColumn="0" w:lastColumn="0" w:noHBand="0" w:noVBand="0"/>
      </w:tblPr>
      <w:tblGrid>
        <w:gridCol w:w="46"/>
        <w:gridCol w:w="3113"/>
        <w:gridCol w:w="280"/>
        <w:gridCol w:w="1243"/>
        <w:gridCol w:w="1453"/>
        <w:gridCol w:w="430"/>
        <w:gridCol w:w="21"/>
        <w:gridCol w:w="3039"/>
        <w:gridCol w:w="365"/>
        <w:gridCol w:w="24"/>
      </w:tblGrid>
      <w:tr w:rsidR="00F76972" w:rsidRPr="00FB5991" w14:paraId="53B08C00" w14:textId="77777777" w:rsidTr="000D76F8">
        <w:trPr>
          <w:cantSplit/>
          <w:tblHeader/>
          <w:jc w:val="center"/>
        </w:trPr>
        <w:tc>
          <w:tcPr>
            <w:tcW w:w="10014" w:type="dxa"/>
            <w:gridSpan w:val="10"/>
            <w:shd w:val="clear" w:color="auto" w:fill="17365D"/>
            <w:noWrap/>
          </w:tcPr>
          <w:p w14:paraId="7CBC0248" w14:textId="77777777" w:rsidR="00F76972" w:rsidRPr="00FB5991" w:rsidRDefault="00F76972" w:rsidP="000D76F8">
            <w:pPr>
              <w:spacing w:before="40" w:after="40"/>
              <w:rPr>
                <w:rFonts w:ascii="Calibri" w:hAnsi="Calibri" w:cs="Calibri"/>
                <w:b/>
                <w:color w:val="FFFFFF"/>
                <w:sz w:val="18"/>
                <w:szCs w:val="18"/>
              </w:rPr>
            </w:pPr>
            <w:r w:rsidRPr="00FB5991">
              <w:rPr>
                <w:rFonts w:ascii="Calibri" w:hAnsi="Calibri" w:cs="Calibri"/>
                <w:b/>
                <w:color w:val="FFFFFF"/>
                <w:szCs w:val="18"/>
              </w:rPr>
              <w:lastRenderedPageBreak/>
              <w:t>MHS PI 16</w:t>
            </w:r>
            <w:r w:rsidRPr="00FB5991">
              <w:rPr>
                <w:rFonts w:ascii="Calibri" w:hAnsi="Calibri" w:cs="Calibri"/>
                <w:b/>
                <w:color w:val="FFFFFF"/>
              </w:rPr>
              <w:t xml:space="preserve">: Impact on consumers, </w:t>
            </w:r>
            <w:proofErr w:type="gramStart"/>
            <w:r w:rsidRPr="00FB5991">
              <w:rPr>
                <w:rFonts w:ascii="Calibri" w:hAnsi="Calibri" w:cs="Calibri"/>
                <w:b/>
                <w:color w:val="FFFFFF"/>
              </w:rPr>
              <w:t>families</w:t>
            </w:r>
            <w:proofErr w:type="gramEnd"/>
            <w:r w:rsidRPr="00FB5991">
              <w:rPr>
                <w:rFonts w:ascii="Calibri" w:hAnsi="Calibri" w:cs="Calibri"/>
                <w:b/>
                <w:color w:val="FFFFFF"/>
              </w:rPr>
              <w:t xml:space="preserve"> and others: Impact version</w:t>
            </w:r>
          </w:p>
        </w:tc>
      </w:tr>
      <w:tr w:rsidR="00F76972" w:rsidRPr="00FB5991" w14:paraId="799381A5" w14:textId="77777777" w:rsidTr="000D76F8">
        <w:trPr>
          <w:cantSplit/>
          <w:jc w:val="center"/>
        </w:trPr>
        <w:tc>
          <w:tcPr>
            <w:tcW w:w="3159" w:type="dxa"/>
            <w:gridSpan w:val="2"/>
            <w:noWrap/>
          </w:tcPr>
          <w:p w14:paraId="36F7C1FA" w14:textId="77777777" w:rsidR="00F76972" w:rsidRPr="00FB5991" w:rsidRDefault="00F76972" w:rsidP="000D76F8">
            <w:pPr>
              <w:spacing w:before="40" w:after="40"/>
              <w:rPr>
                <w:rFonts w:ascii="Calibri" w:hAnsi="Calibri" w:cs="Calibri"/>
                <w:b/>
                <w:sz w:val="18"/>
                <w:szCs w:val="18"/>
              </w:rPr>
            </w:pPr>
            <w:r w:rsidRPr="00FB5991">
              <w:rPr>
                <w:rFonts w:ascii="Calibri" w:hAnsi="Calibri" w:cs="Calibri"/>
                <w:b/>
                <w:sz w:val="18"/>
                <w:szCs w:val="18"/>
              </w:rPr>
              <w:t>Rationale</w:t>
            </w:r>
          </w:p>
        </w:tc>
        <w:tc>
          <w:tcPr>
            <w:tcW w:w="6855" w:type="dxa"/>
            <w:gridSpan w:val="8"/>
          </w:tcPr>
          <w:p w14:paraId="59D975D3"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 xml:space="preserve">Ensure public mental health services are directed towards those where the mental health difficulties impact significantly on the consumer, their </w:t>
            </w:r>
            <w:proofErr w:type="gramStart"/>
            <w:r w:rsidRPr="00FB5991">
              <w:rPr>
                <w:rFonts w:ascii="Calibri" w:hAnsi="Calibri" w:cs="Calibri"/>
                <w:sz w:val="18"/>
                <w:szCs w:val="18"/>
              </w:rPr>
              <w:t>family</w:t>
            </w:r>
            <w:proofErr w:type="gramEnd"/>
            <w:r w:rsidRPr="00FB5991">
              <w:rPr>
                <w:rFonts w:ascii="Calibri" w:hAnsi="Calibri" w:cs="Calibri"/>
                <w:sz w:val="18"/>
                <w:szCs w:val="18"/>
              </w:rPr>
              <w:t xml:space="preserve"> and others.  </w:t>
            </w:r>
          </w:p>
          <w:p w14:paraId="068A0FF9"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 xml:space="preserve">Families, carers, significant </w:t>
            </w:r>
            <w:proofErr w:type="gramStart"/>
            <w:r w:rsidRPr="00FB5991">
              <w:rPr>
                <w:rFonts w:ascii="Calibri" w:hAnsi="Calibri" w:cs="Calibri"/>
                <w:sz w:val="18"/>
                <w:szCs w:val="18"/>
              </w:rPr>
              <w:t>others</w:t>
            </w:r>
            <w:proofErr w:type="gramEnd"/>
            <w:r w:rsidRPr="00FB5991">
              <w:rPr>
                <w:rFonts w:ascii="Calibri" w:hAnsi="Calibri" w:cs="Calibri"/>
                <w:sz w:val="18"/>
                <w:szCs w:val="18"/>
              </w:rPr>
              <w:t xml:space="preserve"> and consumers lives can be impacted by the presence of mental health difficulties.  Public mental health services focus on those for whom there is significant impact, and associated burden.  It is important that services recognize, and respond to, the impact for carers and families, as well as that occurring directly for the consumer.  Reducing the impact of mental health difficulties is an important component of the recovery process for all concerned.  While this indicator in the first instance is a measure of access for those in need, increased completion rates at discharge would allow this indicator to readily becoming a measure of recovery and service effectiveness.  </w:t>
            </w:r>
          </w:p>
        </w:tc>
      </w:tr>
      <w:tr w:rsidR="00F76972" w:rsidRPr="00FB5991" w14:paraId="7D99F322" w14:textId="77777777" w:rsidTr="000D76F8">
        <w:trPr>
          <w:cantSplit/>
          <w:jc w:val="center"/>
        </w:trPr>
        <w:tc>
          <w:tcPr>
            <w:tcW w:w="3159" w:type="dxa"/>
            <w:gridSpan w:val="2"/>
            <w:noWrap/>
          </w:tcPr>
          <w:p w14:paraId="2AE18E01" w14:textId="77777777" w:rsidR="00F76972" w:rsidRPr="00FB5991" w:rsidRDefault="00F76972" w:rsidP="000D76F8">
            <w:pPr>
              <w:spacing w:before="40" w:after="40"/>
              <w:rPr>
                <w:rFonts w:ascii="Calibri" w:hAnsi="Calibri" w:cs="Calibri"/>
                <w:b/>
                <w:sz w:val="18"/>
                <w:szCs w:val="18"/>
              </w:rPr>
            </w:pPr>
            <w:r w:rsidRPr="00FB5991">
              <w:rPr>
                <w:rFonts w:ascii="Calibri" w:hAnsi="Calibri" w:cs="Calibri"/>
                <w:b/>
                <w:sz w:val="18"/>
                <w:szCs w:val="18"/>
              </w:rPr>
              <w:t>Endorsement status</w:t>
            </w:r>
          </w:p>
        </w:tc>
        <w:tc>
          <w:tcPr>
            <w:tcW w:w="6855" w:type="dxa"/>
            <w:gridSpan w:val="8"/>
          </w:tcPr>
          <w:p w14:paraId="2A1187F8" w14:textId="77777777" w:rsidR="00F76972" w:rsidRPr="00FB5991" w:rsidRDefault="00F76972" w:rsidP="000D76F8">
            <w:pPr>
              <w:spacing w:before="40" w:after="40"/>
              <w:rPr>
                <w:rFonts w:ascii="Calibri" w:hAnsi="Calibri" w:cs="Calibri"/>
                <w:sz w:val="18"/>
                <w:szCs w:val="18"/>
              </w:rPr>
            </w:pPr>
          </w:p>
        </w:tc>
      </w:tr>
      <w:tr w:rsidR="00F76972" w:rsidRPr="00FB5991" w14:paraId="6141E2E9" w14:textId="77777777" w:rsidTr="000D76F8">
        <w:trPr>
          <w:cantSplit/>
          <w:jc w:val="center"/>
        </w:trPr>
        <w:tc>
          <w:tcPr>
            <w:tcW w:w="3159" w:type="dxa"/>
            <w:gridSpan w:val="2"/>
            <w:noWrap/>
          </w:tcPr>
          <w:p w14:paraId="1611487B" w14:textId="77777777" w:rsidR="00F76972" w:rsidRPr="00FB5991" w:rsidRDefault="00F76972" w:rsidP="000D76F8">
            <w:pPr>
              <w:spacing w:before="40" w:after="40"/>
              <w:rPr>
                <w:rFonts w:ascii="Calibri" w:hAnsi="Calibri" w:cs="Calibri"/>
                <w:b/>
                <w:sz w:val="18"/>
                <w:szCs w:val="18"/>
              </w:rPr>
            </w:pPr>
            <w:r w:rsidRPr="00FB5991">
              <w:rPr>
                <w:rFonts w:ascii="Calibri" w:hAnsi="Calibri" w:cs="Calibri"/>
                <w:b/>
                <w:sz w:val="18"/>
                <w:szCs w:val="18"/>
              </w:rPr>
              <w:t>Date last updated</w:t>
            </w:r>
          </w:p>
        </w:tc>
        <w:tc>
          <w:tcPr>
            <w:tcW w:w="6855" w:type="dxa"/>
            <w:gridSpan w:val="8"/>
          </w:tcPr>
          <w:p w14:paraId="3016442B" w14:textId="77777777" w:rsidR="00F76972" w:rsidRPr="00FB5991" w:rsidRDefault="00F76972" w:rsidP="000D76F8">
            <w:pPr>
              <w:spacing w:before="40" w:after="40"/>
              <w:rPr>
                <w:rFonts w:ascii="Calibri" w:hAnsi="Calibri" w:cs="Calibri"/>
                <w:color w:val="FF0000"/>
                <w:sz w:val="18"/>
                <w:szCs w:val="18"/>
              </w:rPr>
            </w:pPr>
          </w:p>
        </w:tc>
      </w:tr>
      <w:tr w:rsidR="00F76972" w:rsidRPr="00FB5991" w14:paraId="347EA62E" w14:textId="77777777" w:rsidTr="000D76F8">
        <w:trPr>
          <w:cantSplit/>
          <w:jc w:val="center"/>
        </w:trPr>
        <w:tc>
          <w:tcPr>
            <w:tcW w:w="10014" w:type="dxa"/>
            <w:gridSpan w:val="10"/>
            <w:shd w:val="clear" w:color="auto" w:fill="DBE5F1"/>
            <w:noWrap/>
          </w:tcPr>
          <w:p w14:paraId="37AAF4D0" w14:textId="77777777" w:rsidR="00F76972" w:rsidRPr="00FB5991" w:rsidRDefault="00F76972" w:rsidP="000D76F8">
            <w:pPr>
              <w:spacing w:before="40" w:after="40"/>
              <w:rPr>
                <w:rFonts w:ascii="Calibri" w:hAnsi="Calibri" w:cs="Calibri"/>
                <w:b/>
                <w:sz w:val="18"/>
                <w:szCs w:val="18"/>
              </w:rPr>
            </w:pPr>
            <w:r w:rsidRPr="00FB5991">
              <w:rPr>
                <w:rFonts w:ascii="Calibri" w:hAnsi="Calibri" w:cs="Calibri"/>
                <w:b/>
                <w:szCs w:val="18"/>
              </w:rPr>
              <w:t>Indicator details</w:t>
            </w:r>
          </w:p>
        </w:tc>
      </w:tr>
      <w:tr w:rsidR="00F76972" w:rsidRPr="00FB5991" w14:paraId="37128A0B" w14:textId="77777777" w:rsidTr="000D76F8">
        <w:trPr>
          <w:cantSplit/>
          <w:jc w:val="center"/>
        </w:trPr>
        <w:tc>
          <w:tcPr>
            <w:tcW w:w="3159" w:type="dxa"/>
            <w:gridSpan w:val="2"/>
            <w:noWrap/>
          </w:tcPr>
          <w:p w14:paraId="79BA0BA6" w14:textId="77777777" w:rsidR="00F76972" w:rsidRPr="00FB5991" w:rsidRDefault="00F76972" w:rsidP="000D76F8">
            <w:pPr>
              <w:spacing w:before="40" w:after="40"/>
              <w:rPr>
                <w:rFonts w:ascii="Calibri" w:hAnsi="Calibri" w:cs="Calibri"/>
                <w:b/>
                <w:sz w:val="18"/>
                <w:szCs w:val="18"/>
              </w:rPr>
            </w:pPr>
            <w:r w:rsidRPr="00FB5991">
              <w:rPr>
                <w:rFonts w:ascii="Calibri" w:hAnsi="Calibri" w:cs="Calibri"/>
                <w:b/>
                <w:sz w:val="18"/>
                <w:szCs w:val="18"/>
              </w:rPr>
              <w:t>Description</w:t>
            </w:r>
          </w:p>
        </w:tc>
        <w:tc>
          <w:tcPr>
            <w:tcW w:w="6855" w:type="dxa"/>
            <w:gridSpan w:val="8"/>
          </w:tcPr>
          <w:p w14:paraId="715DD072"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The proportion of admissions to community care where the parent’s assessment of the consumer’s social impairment and distress is at approximately the 95</w:t>
            </w:r>
            <w:r w:rsidRPr="00FB5991">
              <w:rPr>
                <w:rFonts w:ascii="Calibri" w:hAnsi="Calibri" w:cs="Calibri"/>
                <w:sz w:val="18"/>
                <w:szCs w:val="18"/>
                <w:vertAlign w:val="superscript"/>
              </w:rPr>
              <w:t>th</w:t>
            </w:r>
            <w:r w:rsidRPr="00FB5991">
              <w:rPr>
                <w:rFonts w:ascii="Calibri" w:hAnsi="Calibri" w:cs="Calibri"/>
                <w:sz w:val="18"/>
                <w:szCs w:val="18"/>
              </w:rPr>
              <w:t xml:space="preserve"> percentile compared with community norms.</w:t>
            </w:r>
          </w:p>
        </w:tc>
      </w:tr>
      <w:tr w:rsidR="00F76972" w:rsidRPr="00FB5991" w14:paraId="14BB06F6" w14:textId="77777777" w:rsidTr="000D76F8">
        <w:trPr>
          <w:cantSplit/>
          <w:jc w:val="center"/>
        </w:trPr>
        <w:tc>
          <w:tcPr>
            <w:tcW w:w="3159" w:type="dxa"/>
            <w:gridSpan w:val="2"/>
            <w:noWrap/>
          </w:tcPr>
          <w:p w14:paraId="5D469FBC" w14:textId="77777777" w:rsidR="00F76972" w:rsidRPr="00FB5991" w:rsidRDefault="00F76972" w:rsidP="000D76F8">
            <w:pPr>
              <w:spacing w:before="40" w:after="40"/>
              <w:rPr>
                <w:rFonts w:ascii="Calibri" w:hAnsi="Calibri" w:cs="Calibri"/>
                <w:b/>
                <w:sz w:val="18"/>
                <w:szCs w:val="18"/>
              </w:rPr>
            </w:pPr>
            <w:r w:rsidRPr="00FB5991">
              <w:rPr>
                <w:rFonts w:ascii="Calibri" w:hAnsi="Calibri" w:cs="Calibri"/>
                <w:b/>
                <w:sz w:val="18"/>
                <w:szCs w:val="18"/>
              </w:rPr>
              <w:t>Numerator</w:t>
            </w:r>
          </w:p>
        </w:tc>
        <w:tc>
          <w:tcPr>
            <w:tcW w:w="6855" w:type="dxa"/>
            <w:gridSpan w:val="8"/>
          </w:tcPr>
          <w:p w14:paraId="796AE408" w14:textId="77777777" w:rsidR="00F76972" w:rsidRPr="00FB5991" w:rsidRDefault="00F76972" w:rsidP="000D76F8">
            <w:pPr>
              <w:pStyle w:val="Default"/>
              <w:rPr>
                <w:rFonts w:ascii="Calibri" w:hAnsi="Calibri"/>
                <w:sz w:val="18"/>
                <w:szCs w:val="18"/>
              </w:rPr>
            </w:pPr>
            <w:r w:rsidRPr="00FB5991">
              <w:rPr>
                <w:rFonts w:ascii="Calibri" w:hAnsi="Calibri" w:cs="Calibri"/>
                <w:sz w:val="18"/>
                <w:szCs w:val="18"/>
              </w:rPr>
              <w:t>Number of baseline collection occasions for child and youth consumers with social impairment and distress impact ratings by parents at the 95</w:t>
            </w:r>
            <w:r w:rsidRPr="00FB5991">
              <w:rPr>
                <w:rFonts w:ascii="Calibri" w:hAnsi="Calibri" w:cs="Calibri"/>
                <w:sz w:val="18"/>
                <w:szCs w:val="18"/>
                <w:vertAlign w:val="superscript"/>
              </w:rPr>
              <w:t>th</w:t>
            </w:r>
            <w:r w:rsidRPr="00FB5991">
              <w:rPr>
                <w:rFonts w:ascii="Calibri" w:hAnsi="Calibri" w:cs="Calibri"/>
                <w:sz w:val="18"/>
                <w:szCs w:val="18"/>
              </w:rPr>
              <w:t xml:space="preserve"> percentile compared with community norms.</w:t>
            </w:r>
          </w:p>
        </w:tc>
      </w:tr>
      <w:tr w:rsidR="00F76972" w:rsidRPr="00FB5991" w14:paraId="6F2408A1" w14:textId="77777777" w:rsidTr="000D76F8">
        <w:trPr>
          <w:cantSplit/>
          <w:jc w:val="center"/>
        </w:trPr>
        <w:tc>
          <w:tcPr>
            <w:tcW w:w="3159" w:type="dxa"/>
            <w:gridSpan w:val="2"/>
            <w:noWrap/>
          </w:tcPr>
          <w:p w14:paraId="6606CF2D" w14:textId="77777777" w:rsidR="00F76972" w:rsidRPr="00FB5991" w:rsidRDefault="00F76972" w:rsidP="000D76F8">
            <w:pPr>
              <w:spacing w:before="40" w:after="40"/>
              <w:rPr>
                <w:rFonts w:ascii="Calibri" w:hAnsi="Calibri" w:cs="Calibri"/>
                <w:b/>
                <w:sz w:val="18"/>
                <w:szCs w:val="18"/>
              </w:rPr>
            </w:pPr>
            <w:r w:rsidRPr="00FB5991">
              <w:rPr>
                <w:rFonts w:ascii="Calibri" w:hAnsi="Calibri" w:cs="Calibri"/>
                <w:b/>
                <w:sz w:val="18"/>
                <w:szCs w:val="18"/>
              </w:rPr>
              <w:t>Denominator</w:t>
            </w:r>
          </w:p>
        </w:tc>
        <w:tc>
          <w:tcPr>
            <w:tcW w:w="6855" w:type="dxa"/>
            <w:gridSpan w:val="8"/>
          </w:tcPr>
          <w:p w14:paraId="2E46D9F3"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Total number of baseline collection occasions for child and youth consumers with social impairment and distress impact ratings by parents.</w:t>
            </w:r>
          </w:p>
        </w:tc>
      </w:tr>
      <w:tr w:rsidR="00F76972" w:rsidRPr="00FB5991" w14:paraId="7BABFC51" w14:textId="77777777" w:rsidTr="000D76F8">
        <w:trPr>
          <w:cantSplit/>
          <w:jc w:val="center"/>
        </w:trPr>
        <w:tc>
          <w:tcPr>
            <w:tcW w:w="3159" w:type="dxa"/>
            <w:gridSpan w:val="2"/>
            <w:noWrap/>
          </w:tcPr>
          <w:p w14:paraId="546C0205" w14:textId="77777777" w:rsidR="00F76972" w:rsidRPr="00FB5991" w:rsidRDefault="00F76972" w:rsidP="000D76F8">
            <w:pPr>
              <w:spacing w:before="40" w:after="40"/>
              <w:rPr>
                <w:rFonts w:ascii="Calibri" w:hAnsi="Calibri" w:cs="Calibri"/>
                <w:b/>
                <w:sz w:val="18"/>
                <w:szCs w:val="18"/>
              </w:rPr>
            </w:pPr>
            <w:r w:rsidRPr="00FB5991">
              <w:rPr>
                <w:rFonts w:ascii="Calibri" w:hAnsi="Calibri" w:cs="Calibri"/>
                <w:b/>
                <w:sz w:val="18"/>
                <w:szCs w:val="18"/>
              </w:rPr>
              <w:t>Computation</w:t>
            </w:r>
          </w:p>
        </w:tc>
        <w:tc>
          <w:tcPr>
            <w:tcW w:w="6855" w:type="dxa"/>
            <w:gridSpan w:val="8"/>
          </w:tcPr>
          <w:p w14:paraId="4E966BA2"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(Numerator ÷ Denominator) x 100</w:t>
            </w:r>
          </w:p>
        </w:tc>
      </w:tr>
      <w:tr w:rsidR="00F76972" w:rsidRPr="00FB5991" w14:paraId="7640D37C" w14:textId="77777777" w:rsidTr="000D76F8">
        <w:trPr>
          <w:cantSplit/>
          <w:trHeight w:val="308"/>
          <w:jc w:val="center"/>
        </w:trPr>
        <w:tc>
          <w:tcPr>
            <w:tcW w:w="3159" w:type="dxa"/>
            <w:gridSpan w:val="2"/>
            <w:vMerge w:val="restart"/>
            <w:noWrap/>
          </w:tcPr>
          <w:p w14:paraId="0FFBA0CC" w14:textId="77777777" w:rsidR="00F76972" w:rsidRPr="00FB5991" w:rsidRDefault="00F76972" w:rsidP="000D76F8">
            <w:pPr>
              <w:spacing w:before="40" w:after="40"/>
              <w:rPr>
                <w:rFonts w:ascii="Calibri" w:hAnsi="Calibri" w:cs="Calibri"/>
                <w:b/>
                <w:sz w:val="18"/>
                <w:szCs w:val="18"/>
              </w:rPr>
            </w:pPr>
            <w:r w:rsidRPr="00FB5991">
              <w:rPr>
                <w:rFonts w:ascii="Calibri" w:hAnsi="Calibri" w:cs="Calibri"/>
                <w:b/>
                <w:sz w:val="18"/>
                <w:szCs w:val="18"/>
              </w:rPr>
              <w:t>Calculation conditions</w:t>
            </w:r>
          </w:p>
        </w:tc>
        <w:tc>
          <w:tcPr>
            <w:tcW w:w="1523" w:type="dxa"/>
            <w:gridSpan w:val="2"/>
          </w:tcPr>
          <w:p w14:paraId="43545ED7"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Coverage/Scope:</w:t>
            </w:r>
          </w:p>
        </w:tc>
        <w:tc>
          <w:tcPr>
            <w:tcW w:w="5332" w:type="dxa"/>
            <w:gridSpan w:val="6"/>
          </w:tcPr>
          <w:p w14:paraId="16C748CE"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 xml:space="preserve">All public sector mental health service organisations with specialised </w:t>
            </w:r>
            <w:r w:rsidRPr="00FB5991">
              <w:rPr>
                <w:rFonts w:ascii="Calibri" w:hAnsi="Calibri" w:cs="Calibri"/>
                <w:sz w:val="18"/>
                <w:szCs w:val="18"/>
                <w:u w:val="single"/>
              </w:rPr>
              <w:t>ambulatory</w:t>
            </w:r>
            <w:r w:rsidRPr="00FB5991">
              <w:rPr>
                <w:rFonts w:ascii="Calibri" w:hAnsi="Calibri" w:cs="Calibri"/>
                <w:sz w:val="18"/>
                <w:szCs w:val="18"/>
              </w:rPr>
              <w:t xml:space="preserve"> child and adolescent mental health services. </w:t>
            </w:r>
          </w:p>
        </w:tc>
      </w:tr>
      <w:tr w:rsidR="00F76972" w:rsidRPr="00FB5991" w14:paraId="141DA1F2" w14:textId="77777777" w:rsidTr="000D76F8">
        <w:trPr>
          <w:cantSplit/>
          <w:trHeight w:val="307"/>
          <w:jc w:val="center"/>
        </w:trPr>
        <w:tc>
          <w:tcPr>
            <w:tcW w:w="3159" w:type="dxa"/>
            <w:gridSpan w:val="2"/>
            <w:vMerge/>
            <w:noWrap/>
          </w:tcPr>
          <w:p w14:paraId="2FFE3548" w14:textId="77777777" w:rsidR="00F76972" w:rsidRPr="00FB5991" w:rsidRDefault="00F76972" w:rsidP="000D76F8">
            <w:pPr>
              <w:spacing w:before="40" w:after="40"/>
              <w:rPr>
                <w:rFonts w:ascii="Calibri" w:hAnsi="Calibri" w:cs="Calibri"/>
                <w:b/>
                <w:sz w:val="18"/>
                <w:szCs w:val="18"/>
              </w:rPr>
            </w:pPr>
          </w:p>
        </w:tc>
        <w:tc>
          <w:tcPr>
            <w:tcW w:w="1523" w:type="dxa"/>
            <w:gridSpan w:val="2"/>
          </w:tcPr>
          <w:p w14:paraId="464EE119"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Methodology:</w:t>
            </w:r>
          </w:p>
        </w:tc>
        <w:tc>
          <w:tcPr>
            <w:tcW w:w="5332" w:type="dxa"/>
            <w:gridSpan w:val="6"/>
          </w:tcPr>
          <w:p w14:paraId="5B1E6308" w14:textId="77777777" w:rsidR="00F76972" w:rsidRPr="00FB5991" w:rsidRDefault="00F76972" w:rsidP="000D76F8">
            <w:pPr>
              <w:pStyle w:val="Default"/>
              <w:rPr>
                <w:rFonts w:ascii="Calibri" w:hAnsi="Calibri" w:cs="Calibri"/>
                <w:sz w:val="18"/>
                <w:szCs w:val="18"/>
              </w:rPr>
            </w:pPr>
            <w:r w:rsidRPr="00FB5991">
              <w:rPr>
                <w:rFonts w:ascii="Calibri" w:hAnsi="Calibri" w:cs="Calibri"/>
                <w:sz w:val="18"/>
                <w:szCs w:val="18"/>
              </w:rPr>
              <w:t xml:space="preserve">Impact assessments are calculated separately for child consumers aged 4-10 years and youth consumers aged 11-17 years with a completed </w:t>
            </w:r>
            <w:r w:rsidRPr="00FB5991">
              <w:rPr>
                <w:rFonts w:ascii="Calibri" w:hAnsi="Calibri" w:cs="Calibri"/>
                <w:sz w:val="18"/>
                <w:szCs w:val="18"/>
                <w:u w:val="single"/>
              </w:rPr>
              <w:t>Parent</w:t>
            </w:r>
            <w:r w:rsidRPr="00FB5991">
              <w:rPr>
                <w:rFonts w:ascii="Calibri" w:hAnsi="Calibri" w:cs="Calibri"/>
                <w:sz w:val="18"/>
                <w:szCs w:val="18"/>
              </w:rPr>
              <w:t xml:space="preserve"> version of the Strengths and Difficulties Questionnaire (SDQ) where:</w:t>
            </w:r>
          </w:p>
          <w:p w14:paraId="37CA19C6" w14:textId="77777777" w:rsidR="00F76972" w:rsidRPr="00FB5991" w:rsidRDefault="00F76972" w:rsidP="00F76972">
            <w:pPr>
              <w:pStyle w:val="Default"/>
              <w:numPr>
                <w:ilvl w:val="0"/>
                <w:numId w:val="36"/>
              </w:numPr>
              <w:rPr>
                <w:rFonts w:ascii="Calibri" w:hAnsi="Calibri" w:cs="Calibri"/>
                <w:sz w:val="18"/>
                <w:szCs w:val="18"/>
              </w:rPr>
            </w:pPr>
            <w:r w:rsidRPr="00FB5991">
              <w:rPr>
                <w:rFonts w:ascii="Calibri" w:hAnsi="Calibri" w:cs="Calibri"/>
                <w:sz w:val="18"/>
                <w:szCs w:val="18"/>
              </w:rPr>
              <w:t>the respondent indicates that the consumer has difficulties in any of the following areas: emotions, concentration, behaviour or being able to get along with people; and</w:t>
            </w:r>
          </w:p>
          <w:p w14:paraId="5F4BA209" w14:textId="77777777" w:rsidR="00F76972" w:rsidRPr="00FB5991" w:rsidRDefault="00F76972" w:rsidP="00F76972">
            <w:pPr>
              <w:pStyle w:val="Default"/>
              <w:numPr>
                <w:ilvl w:val="0"/>
                <w:numId w:val="36"/>
              </w:numPr>
              <w:rPr>
                <w:rFonts w:ascii="Calibri" w:hAnsi="Calibri" w:cs="Calibri"/>
                <w:sz w:val="18"/>
                <w:szCs w:val="18"/>
              </w:rPr>
            </w:pPr>
            <w:r w:rsidRPr="00FB5991">
              <w:rPr>
                <w:rFonts w:ascii="Calibri" w:hAnsi="Calibri" w:cs="Calibri"/>
                <w:sz w:val="18"/>
                <w:szCs w:val="18"/>
              </w:rPr>
              <w:t xml:space="preserve">the total score on the SDQ Impact </w:t>
            </w:r>
            <w:proofErr w:type="gramStart"/>
            <w:r w:rsidRPr="00FB5991">
              <w:rPr>
                <w:rFonts w:ascii="Calibri" w:hAnsi="Calibri" w:cs="Calibri"/>
                <w:sz w:val="18"/>
                <w:szCs w:val="18"/>
              </w:rPr>
              <w:t>Supplement  is</w:t>
            </w:r>
            <w:proofErr w:type="gramEnd"/>
            <w:r w:rsidRPr="00FB5991">
              <w:rPr>
                <w:rFonts w:ascii="Calibri" w:hAnsi="Calibri" w:cs="Calibri"/>
                <w:sz w:val="18"/>
                <w:szCs w:val="18"/>
              </w:rPr>
              <w:t xml:space="preserve"> 3 or greater for child consumers aged 4-10 years or 4 or greater for youth consumers aged 11-17 years.</w:t>
            </w:r>
          </w:p>
          <w:p w14:paraId="73941CB1"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 xml:space="preserve">The indicator comprises estimates for the two age-bands </w:t>
            </w:r>
            <w:r w:rsidRPr="00FB5991">
              <w:rPr>
                <w:rFonts w:ascii="Calibri" w:hAnsi="Calibri" w:cs="Calibri"/>
                <w:sz w:val="18"/>
                <w:szCs w:val="18"/>
                <w:u w:val="single"/>
              </w:rPr>
              <w:t>combined</w:t>
            </w:r>
            <w:r w:rsidRPr="00FB5991">
              <w:rPr>
                <w:rFonts w:ascii="Calibri" w:hAnsi="Calibri" w:cs="Calibri"/>
                <w:sz w:val="18"/>
                <w:szCs w:val="18"/>
              </w:rPr>
              <w:t>.</w:t>
            </w:r>
          </w:p>
        </w:tc>
      </w:tr>
      <w:tr w:rsidR="00F76972" w:rsidRPr="00FB5991" w14:paraId="3D99B93D" w14:textId="77777777" w:rsidTr="000D76F8">
        <w:trPr>
          <w:cantSplit/>
          <w:jc w:val="center"/>
        </w:trPr>
        <w:tc>
          <w:tcPr>
            <w:tcW w:w="3159" w:type="dxa"/>
            <w:gridSpan w:val="2"/>
            <w:noWrap/>
          </w:tcPr>
          <w:p w14:paraId="4FDA8D44" w14:textId="77777777" w:rsidR="00F76972" w:rsidRPr="00FB5991" w:rsidRDefault="00F76972" w:rsidP="000D76F8">
            <w:pPr>
              <w:spacing w:before="40" w:after="40"/>
              <w:rPr>
                <w:rFonts w:ascii="Calibri" w:hAnsi="Calibri" w:cs="Calibri"/>
                <w:b/>
                <w:sz w:val="18"/>
                <w:szCs w:val="18"/>
              </w:rPr>
            </w:pPr>
            <w:r w:rsidRPr="00FB5991">
              <w:rPr>
                <w:rFonts w:ascii="Calibri" w:hAnsi="Calibri" w:cs="Calibri"/>
                <w:b/>
                <w:sz w:val="18"/>
                <w:szCs w:val="18"/>
              </w:rPr>
              <w:lastRenderedPageBreak/>
              <w:t>Definitions</w:t>
            </w:r>
          </w:p>
        </w:tc>
        <w:tc>
          <w:tcPr>
            <w:tcW w:w="6855" w:type="dxa"/>
            <w:gridSpan w:val="8"/>
          </w:tcPr>
          <w:p w14:paraId="0E6A4711" w14:textId="77777777" w:rsidR="00F76972" w:rsidRPr="00FB5991" w:rsidRDefault="00F76972" w:rsidP="00F76972">
            <w:pPr>
              <w:numPr>
                <w:ilvl w:val="0"/>
                <w:numId w:val="31"/>
              </w:numPr>
              <w:spacing w:line="276" w:lineRule="auto"/>
              <w:ind w:left="714" w:hanging="357"/>
              <w:rPr>
                <w:rFonts w:ascii="Calibri" w:hAnsi="Calibri" w:cs="Calibri"/>
                <w:sz w:val="18"/>
                <w:szCs w:val="18"/>
              </w:rPr>
            </w:pPr>
            <w:r w:rsidRPr="00FB5991">
              <w:rPr>
                <w:rFonts w:ascii="Calibri" w:hAnsi="Calibri" w:cs="Calibri"/>
                <w:sz w:val="18"/>
                <w:szCs w:val="18"/>
              </w:rPr>
              <w:t xml:space="preserve">There are separate </w:t>
            </w:r>
            <w:r w:rsidRPr="00FB5991">
              <w:rPr>
                <w:rFonts w:ascii="Calibri" w:hAnsi="Calibri" w:cs="Calibri"/>
                <w:sz w:val="18"/>
                <w:szCs w:val="18"/>
                <w:u w:val="single"/>
              </w:rPr>
              <w:t>Parent</w:t>
            </w:r>
            <w:r w:rsidRPr="00FB5991">
              <w:rPr>
                <w:rFonts w:ascii="Calibri" w:hAnsi="Calibri" w:cs="Calibri"/>
                <w:sz w:val="18"/>
                <w:szCs w:val="18"/>
              </w:rPr>
              <w:t xml:space="preserve"> versions of the SDQ, one designed for parents with child consumers aged 4-10 years (SDQ-PC) and one for parents with youth consumers aged 11-17 years (SDQ-PY). The Impact Supplement is identical for </w:t>
            </w:r>
            <w:proofErr w:type="gramStart"/>
            <w:r w:rsidRPr="00FB5991">
              <w:rPr>
                <w:rFonts w:ascii="Calibri" w:hAnsi="Calibri" w:cs="Calibri"/>
                <w:sz w:val="18"/>
                <w:szCs w:val="18"/>
              </w:rPr>
              <w:t>both of these</w:t>
            </w:r>
            <w:proofErr w:type="gramEnd"/>
            <w:r w:rsidRPr="00FB5991">
              <w:rPr>
                <w:rFonts w:ascii="Calibri" w:hAnsi="Calibri" w:cs="Calibri"/>
                <w:sz w:val="18"/>
                <w:szCs w:val="18"/>
              </w:rPr>
              <w:t xml:space="preserve"> versions.</w:t>
            </w:r>
          </w:p>
          <w:p w14:paraId="1E351718" w14:textId="77777777" w:rsidR="00F76972" w:rsidRPr="00FB5991" w:rsidRDefault="00F76972" w:rsidP="00F76972">
            <w:pPr>
              <w:numPr>
                <w:ilvl w:val="0"/>
                <w:numId w:val="31"/>
              </w:numPr>
              <w:spacing w:line="276" w:lineRule="auto"/>
              <w:ind w:left="714" w:hanging="357"/>
              <w:rPr>
                <w:rFonts w:ascii="Calibri" w:hAnsi="Calibri" w:cs="Calibri"/>
                <w:sz w:val="18"/>
                <w:szCs w:val="18"/>
              </w:rPr>
            </w:pPr>
            <w:r w:rsidRPr="00FB5991">
              <w:rPr>
                <w:rFonts w:ascii="Calibri" w:hAnsi="Calibri" w:cs="Calibri"/>
                <w:sz w:val="18"/>
                <w:szCs w:val="18"/>
              </w:rPr>
              <w:t>A ‘completed’ SDQ is defined as a measure with a valid ‘Total Difficulties’ score. The ‘Total Difficulties’ is calculated as the sum of four SDQ subscales, ‘Emotional Symptoms’, ‘Conduct Problems’, ‘Hyperactivity/Inattention’ and ‘Peer Relationship Problems’.</w:t>
            </w:r>
          </w:p>
          <w:p w14:paraId="75C3A4DE" w14:textId="77777777" w:rsidR="00F76972" w:rsidRPr="00FB5991" w:rsidRDefault="00F76972" w:rsidP="00F76972">
            <w:pPr>
              <w:numPr>
                <w:ilvl w:val="0"/>
                <w:numId w:val="31"/>
              </w:numPr>
              <w:spacing w:line="276" w:lineRule="auto"/>
              <w:ind w:left="714" w:hanging="357"/>
              <w:rPr>
                <w:rFonts w:ascii="Calibri" w:hAnsi="Calibri" w:cs="Calibri"/>
                <w:sz w:val="18"/>
                <w:szCs w:val="18"/>
              </w:rPr>
            </w:pPr>
            <w:r w:rsidRPr="00FB5991">
              <w:rPr>
                <w:rFonts w:ascii="Calibri" w:hAnsi="Calibri" w:cs="Calibri"/>
                <w:sz w:val="18"/>
                <w:szCs w:val="18"/>
              </w:rPr>
              <w:t xml:space="preserve">The Impact Supplement is only completed if the parent rates ‘Yes’ to SDQ 26: </w:t>
            </w:r>
            <w:r w:rsidRPr="00FB5991">
              <w:rPr>
                <w:rFonts w:ascii="Calibri" w:hAnsi="Calibri" w:cs="Calibri"/>
                <w:i/>
                <w:sz w:val="18"/>
                <w:szCs w:val="18"/>
              </w:rPr>
              <w:t>“Overall, do you think that your child has difficulties in any of the following areas: emotions, concentration, behaviour or being able to get along with other people?”</w:t>
            </w:r>
            <w:r w:rsidRPr="00FB5991">
              <w:rPr>
                <w:rFonts w:ascii="Calibri" w:hAnsi="Calibri" w:cs="Calibri"/>
                <w:sz w:val="18"/>
                <w:szCs w:val="18"/>
              </w:rPr>
              <w:t xml:space="preserve"> (Rated ‘No’, ‘Yes – minor difficulties’, ‘Yes – definite difficulties’ or ‘Yes – severe difficulties’).</w:t>
            </w:r>
          </w:p>
          <w:p w14:paraId="6D98DED8" w14:textId="77777777" w:rsidR="00F76972" w:rsidRPr="00FB5991" w:rsidRDefault="00F76972" w:rsidP="00F76972">
            <w:pPr>
              <w:numPr>
                <w:ilvl w:val="0"/>
                <w:numId w:val="31"/>
              </w:numPr>
              <w:spacing w:line="276" w:lineRule="auto"/>
              <w:ind w:left="714" w:hanging="357"/>
              <w:rPr>
                <w:rFonts w:ascii="Calibri" w:hAnsi="Calibri" w:cs="Calibri"/>
                <w:sz w:val="18"/>
                <w:szCs w:val="18"/>
              </w:rPr>
            </w:pPr>
            <w:r w:rsidRPr="00FB5991">
              <w:rPr>
                <w:rFonts w:ascii="Calibri" w:hAnsi="Calibri" w:cs="Calibri"/>
                <w:sz w:val="18"/>
                <w:szCs w:val="18"/>
              </w:rPr>
              <w:t xml:space="preserve">‘Impact’ is defined as the rating on the SDQ Impact Supplement where ratings range from 0 through 10. This is the sum of 5 separate ratings (SDQ 28-32), that address the consumer’s distress, home life, friendships, classroom learning and leisure activities, on a </w:t>
            </w:r>
            <w:proofErr w:type="gramStart"/>
            <w:r w:rsidRPr="00FB5991">
              <w:rPr>
                <w:rFonts w:ascii="Calibri" w:hAnsi="Calibri" w:cs="Calibri"/>
                <w:sz w:val="18"/>
                <w:szCs w:val="18"/>
              </w:rPr>
              <w:t>4 point</w:t>
            </w:r>
            <w:proofErr w:type="gramEnd"/>
            <w:r w:rsidRPr="00FB5991">
              <w:rPr>
                <w:rFonts w:ascii="Calibri" w:hAnsi="Calibri" w:cs="Calibri"/>
                <w:sz w:val="18"/>
                <w:szCs w:val="18"/>
              </w:rPr>
              <w:t xml:space="preserve"> scale, where ratings of ‘Not at all’ and ‘A little’ are coded as 0, ‘A medium amount’ coded as 1 and a ‘A great deal’ coded as 2, from the parent’s perspective. </w:t>
            </w:r>
          </w:p>
          <w:p w14:paraId="1CA9EA99" w14:textId="77777777" w:rsidR="00F76972" w:rsidRPr="00FB5991" w:rsidRDefault="00F76972" w:rsidP="00F76972">
            <w:pPr>
              <w:numPr>
                <w:ilvl w:val="0"/>
                <w:numId w:val="31"/>
              </w:numPr>
              <w:spacing w:line="276" w:lineRule="auto"/>
              <w:ind w:left="714" w:hanging="357"/>
              <w:rPr>
                <w:rFonts w:ascii="Calibri" w:hAnsi="Calibri" w:cs="Calibri"/>
                <w:sz w:val="18"/>
                <w:szCs w:val="18"/>
              </w:rPr>
            </w:pPr>
            <w:r w:rsidRPr="00FB5991">
              <w:rPr>
                <w:rFonts w:ascii="Calibri" w:hAnsi="Calibri" w:cs="Calibri"/>
                <w:sz w:val="18"/>
                <w:szCs w:val="18"/>
              </w:rPr>
              <w:t>Scores on the Impact Supplement range from 0 to 10, where higher scores indicate increasing levels of ‘distress’ - ‘social impairment’.</w:t>
            </w:r>
          </w:p>
        </w:tc>
      </w:tr>
      <w:tr w:rsidR="00F76972" w:rsidRPr="00FB5991" w14:paraId="7B2ADEE9" w14:textId="77777777" w:rsidTr="000D76F8">
        <w:trPr>
          <w:cantSplit/>
          <w:jc w:val="center"/>
        </w:trPr>
        <w:tc>
          <w:tcPr>
            <w:tcW w:w="3159" w:type="dxa"/>
            <w:gridSpan w:val="2"/>
            <w:noWrap/>
          </w:tcPr>
          <w:p w14:paraId="4D6421D7"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b/>
                <w:sz w:val="18"/>
                <w:szCs w:val="18"/>
              </w:rPr>
              <w:t>Presentation</w:t>
            </w:r>
          </w:p>
        </w:tc>
        <w:tc>
          <w:tcPr>
            <w:tcW w:w="6855" w:type="dxa"/>
            <w:gridSpan w:val="8"/>
          </w:tcPr>
          <w:p w14:paraId="1573164A"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Percentage</w:t>
            </w:r>
          </w:p>
        </w:tc>
      </w:tr>
      <w:tr w:rsidR="00F76972" w:rsidRPr="00FB5991" w14:paraId="7F1C324C" w14:textId="77777777" w:rsidTr="000D76F8">
        <w:trPr>
          <w:cantSplit/>
          <w:jc w:val="center"/>
        </w:trPr>
        <w:tc>
          <w:tcPr>
            <w:tcW w:w="3159" w:type="dxa"/>
            <w:gridSpan w:val="2"/>
            <w:noWrap/>
          </w:tcPr>
          <w:p w14:paraId="36B67C2B" w14:textId="77777777" w:rsidR="00F76972" w:rsidRPr="00FB5991" w:rsidRDefault="00F76972" w:rsidP="000D76F8">
            <w:pPr>
              <w:spacing w:before="40" w:after="40"/>
              <w:rPr>
                <w:rFonts w:ascii="Calibri" w:hAnsi="Calibri" w:cs="Calibri"/>
                <w:b/>
                <w:sz w:val="18"/>
                <w:szCs w:val="18"/>
              </w:rPr>
            </w:pPr>
            <w:r w:rsidRPr="00FB5991">
              <w:rPr>
                <w:rFonts w:ascii="Calibri" w:hAnsi="Calibri" w:cs="Calibri"/>
                <w:b/>
                <w:sz w:val="18"/>
                <w:szCs w:val="18"/>
              </w:rPr>
              <w:t>Disaggregation</w:t>
            </w:r>
          </w:p>
        </w:tc>
        <w:tc>
          <w:tcPr>
            <w:tcW w:w="6855" w:type="dxa"/>
            <w:gridSpan w:val="8"/>
          </w:tcPr>
          <w:p w14:paraId="11C64A47"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 xml:space="preserve">Ages 4-10 years and 11-17 years </w:t>
            </w:r>
            <w:r w:rsidRPr="00FB5991">
              <w:rPr>
                <w:rFonts w:ascii="Calibri" w:hAnsi="Calibri" w:cs="Calibri"/>
                <w:sz w:val="18"/>
                <w:szCs w:val="18"/>
                <w:u w:val="single"/>
              </w:rPr>
              <w:t>separately.</w:t>
            </w:r>
          </w:p>
        </w:tc>
      </w:tr>
      <w:tr w:rsidR="00F76972" w:rsidRPr="00FB5991" w14:paraId="6376600D" w14:textId="77777777" w:rsidTr="000D76F8">
        <w:trPr>
          <w:cantSplit/>
          <w:jc w:val="center"/>
        </w:trPr>
        <w:tc>
          <w:tcPr>
            <w:tcW w:w="3159" w:type="dxa"/>
            <w:gridSpan w:val="2"/>
            <w:noWrap/>
          </w:tcPr>
          <w:p w14:paraId="77C289C3" w14:textId="77777777" w:rsidR="00F76972" w:rsidRPr="00FB5991" w:rsidRDefault="00F76972" w:rsidP="000D76F8">
            <w:pPr>
              <w:spacing w:before="40" w:after="40"/>
              <w:rPr>
                <w:rFonts w:ascii="Calibri" w:hAnsi="Calibri" w:cs="Calibri"/>
                <w:b/>
                <w:sz w:val="18"/>
                <w:szCs w:val="18"/>
              </w:rPr>
            </w:pPr>
            <w:r w:rsidRPr="00FB5991">
              <w:rPr>
                <w:rFonts w:ascii="Calibri" w:hAnsi="Calibri" w:cs="Calibri"/>
                <w:b/>
                <w:sz w:val="18"/>
                <w:szCs w:val="18"/>
              </w:rPr>
              <w:t xml:space="preserve">Notes </w:t>
            </w:r>
          </w:p>
        </w:tc>
        <w:tc>
          <w:tcPr>
            <w:tcW w:w="6855" w:type="dxa"/>
            <w:gridSpan w:val="8"/>
          </w:tcPr>
          <w:p w14:paraId="7D2BFD4A" w14:textId="77777777" w:rsidR="00F76972" w:rsidRPr="00FB5991" w:rsidRDefault="00F76972" w:rsidP="00F76972">
            <w:pPr>
              <w:numPr>
                <w:ilvl w:val="0"/>
                <w:numId w:val="30"/>
              </w:numPr>
              <w:spacing w:line="276" w:lineRule="auto"/>
              <w:ind w:left="714" w:hanging="357"/>
              <w:rPr>
                <w:rFonts w:ascii="Calibri" w:hAnsi="Calibri" w:cs="Calibri"/>
                <w:sz w:val="18"/>
                <w:szCs w:val="18"/>
              </w:rPr>
            </w:pPr>
            <w:r w:rsidRPr="00FB5991">
              <w:rPr>
                <w:rFonts w:ascii="Calibri" w:hAnsi="Calibri" w:cs="Calibri"/>
                <w:sz w:val="18"/>
                <w:szCs w:val="18"/>
              </w:rPr>
              <w:t xml:space="preserve">Community estimates are based on the 2001 USA National Health Interview Survey. </w:t>
            </w:r>
          </w:p>
          <w:p w14:paraId="1BA0FF0A" w14:textId="77777777" w:rsidR="00F76972" w:rsidRPr="00FB5991" w:rsidRDefault="00F76972" w:rsidP="00F76972">
            <w:pPr>
              <w:numPr>
                <w:ilvl w:val="0"/>
                <w:numId w:val="30"/>
              </w:numPr>
              <w:spacing w:line="276" w:lineRule="auto"/>
              <w:ind w:left="714" w:hanging="357"/>
              <w:rPr>
                <w:rFonts w:ascii="Calibri" w:hAnsi="Calibri" w:cs="Calibri"/>
                <w:sz w:val="18"/>
                <w:szCs w:val="18"/>
              </w:rPr>
            </w:pPr>
            <w:r w:rsidRPr="00FB5991">
              <w:rPr>
                <w:rFonts w:ascii="Calibri" w:hAnsi="Calibri" w:cs="Calibri"/>
                <w:sz w:val="18"/>
                <w:szCs w:val="18"/>
              </w:rPr>
              <w:t>Reference norms should be updated with Australian estimates once available.</w:t>
            </w:r>
          </w:p>
          <w:p w14:paraId="0A64DF8E" w14:textId="77777777" w:rsidR="00F76972" w:rsidRPr="00FB5991" w:rsidRDefault="00F76972" w:rsidP="00F76972">
            <w:pPr>
              <w:numPr>
                <w:ilvl w:val="0"/>
                <w:numId w:val="30"/>
              </w:numPr>
              <w:spacing w:line="276" w:lineRule="auto"/>
              <w:ind w:left="714" w:hanging="357"/>
              <w:rPr>
                <w:rFonts w:ascii="Calibri" w:hAnsi="Calibri" w:cs="Calibri"/>
                <w:sz w:val="18"/>
                <w:szCs w:val="18"/>
              </w:rPr>
            </w:pPr>
            <w:r w:rsidRPr="00FB5991">
              <w:rPr>
                <w:rFonts w:ascii="Calibri" w:hAnsi="Calibri" w:cs="Calibri"/>
                <w:sz w:val="18"/>
                <w:szCs w:val="18"/>
              </w:rPr>
              <w:t>This indicator addresses the sub-domain of Relevance to consumer and carer needs. It has the potential to address the sub-domain of Consumer outcomes by comparing baseline and follow-up assessments. At the present time, however, there is not sufficient volume of SDQ Impact Supplement ‘matched pairs’ to enable reliable estimates.</w:t>
            </w:r>
          </w:p>
          <w:p w14:paraId="5AE0F18C" w14:textId="77777777" w:rsidR="00F76972" w:rsidRPr="00FB5991" w:rsidRDefault="00F76972" w:rsidP="00F76972">
            <w:pPr>
              <w:numPr>
                <w:ilvl w:val="0"/>
                <w:numId w:val="30"/>
              </w:numPr>
              <w:spacing w:line="276" w:lineRule="auto"/>
              <w:ind w:left="714" w:hanging="357"/>
              <w:rPr>
                <w:rFonts w:ascii="Calibri" w:hAnsi="Calibri" w:cs="Calibri"/>
                <w:sz w:val="18"/>
                <w:szCs w:val="18"/>
              </w:rPr>
            </w:pPr>
            <w:r w:rsidRPr="00FB5991">
              <w:rPr>
                <w:rFonts w:ascii="Calibri" w:hAnsi="Calibri" w:cs="Calibri"/>
                <w:sz w:val="18"/>
                <w:szCs w:val="18"/>
              </w:rPr>
              <w:t xml:space="preserve">Increased volume of follow up measures would lend this indicator to being extended to being both immediately a measure of effectiveness from parents/carer’s perspective (with community norms) and a recovery measure.  </w:t>
            </w:r>
          </w:p>
          <w:p w14:paraId="029F7316" w14:textId="77777777" w:rsidR="00F76972" w:rsidRPr="00FB5991" w:rsidRDefault="00F76972" w:rsidP="00F76972">
            <w:pPr>
              <w:numPr>
                <w:ilvl w:val="0"/>
                <w:numId w:val="30"/>
              </w:numPr>
              <w:spacing w:line="276" w:lineRule="auto"/>
              <w:ind w:left="714" w:hanging="357"/>
              <w:rPr>
                <w:rFonts w:ascii="Calibri" w:hAnsi="Calibri" w:cs="Calibri"/>
                <w:sz w:val="18"/>
                <w:szCs w:val="18"/>
              </w:rPr>
            </w:pPr>
            <w:r w:rsidRPr="00FB5991">
              <w:rPr>
                <w:rFonts w:ascii="Calibri" w:hAnsi="Calibri" w:cs="Calibri"/>
                <w:sz w:val="18"/>
                <w:szCs w:val="18"/>
              </w:rPr>
              <w:t xml:space="preserve">Should not be reported where there are fewer than </w:t>
            </w:r>
            <w:r w:rsidRPr="00FB5991">
              <w:rPr>
                <w:rFonts w:ascii="Calibri" w:hAnsi="Calibri" w:cs="Calibri"/>
                <w:sz w:val="18"/>
                <w:szCs w:val="18"/>
                <w:highlight w:val="yellow"/>
              </w:rPr>
              <w:t>xxx</w:t>
            </w:r>
            <w:r w:rsidRPr="00FB5991">
              <w:rPr>
                <w:rFonts w:ascii="Calibri" w:hAnsi="Calibri" w:cs="Calibri"/>
                <w:sz w:val="18"/>
                <w:szCs w:val="18"/>
              </w:rPr>
              <w:t xml:space="preserve"> observations.</w:t>
            </w:r>
          </w:p>
          <w:p w14:paraId="3A0EC3B2" w14:textId="77777777" w:rsidR="00F76972" w:rsidRPr="00FB5991" w:rsidRDefault="00F76972" w:rsidP="00F76972">
            <w:pPr>
              <w:numPr>
                <w:ilvl w:val="0"/>
                <w:numId w:val="30"/>
              </w:numPr>
              <w:spacing w:line="276" w:lineRule="auto"/>
              <w:ind w:left="714" w:hanging="357"/>
              <w:rPr>
                <w:rFonts w:ascii="Calibri" w:hAnsi="Calibri" w:cs="Calibri"/>
                <w:sz w:val="18"/>
                <w:szCs w:val="18"/>
              </w:rPr>
            </w:pPr>
            <w:r w:rsidRPr="00FB5991">
              <w:rPr>
                <w:rFonts w:ascii="Calibri" w:hAnsi="Calibri" w:cs="Calibri"/>
                <w:sz w:val="18"/>
                <w:szCs w:val="18"/>
              </w:rPr>
              <w:t>Jurisdictional level reporting</w:t>
            </w:r>
          </w:p>
        </w:tc>
      </w:tr>
      <w:tr w:rsidR="00F76972" w:rsidRPr="00FB5991" w14:paraId="0C707A73" w14:textId="77777777" w:rsidTr="000D76F8">
        <w:trPr>
          <w:cantSplit/>
          <w:jc w:val="center"/>
        </w:trPr>
        <w:tc>
          <w:tcPr>
            <w:tcW w:w="3159" w:type="dxa"/>
            <w:gridSpan w:val="2"/>
            <w:noWrap/>
          </w:tcPr>
          <w:p w14:paraId="4F4FC224" w14:textId="77777777" w:rsidR="00F76972" w:rsidRPr="00FB5991" w:rsidRDefault="00F76972" w:rsidP="000D76F8">
            <w:pPr>
              <w:spacing w:before="40" w:after="40"/>
              <w:rPr>
                <w:rFonts w:ascii="Calibri" w:hAnsi="Calibri" w:cs="Calibri"/>
                <w:b/>
                <w:sz w:val="18"/>
                <w:szCs w:val="18"/>
              </w:rPr>
            </w:pPr>
            <w:r w:rsidRPr="00FB5991">
              <w:rPr>
                <w:rFonts w:ascii="Calibri" w:hAnsi="Calibri" w:cs="Calibri"/>
                <w:b/>
                <w:sz w:val="18"/>
                <w:szCs w:val="18"/>
              </w:rPr>
              <w:t xml:space="preserve">Is specification interim or long-term? </w:t>
            </w:r>
          </w:p>
        </w:tc>
        <w:tc>
          <w:tcPr>
            <w:tcW w:w="6855" w:type="dxa"/>
            <w:gridSpan w:val="8"/>
          </w:tcPr>
          <w:p w14:paraId="41D7BCBD"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Long-term</w:t>
            </w:r>
          </w:p>
        </w:tc>
      </w:tr>
      <w:tr w:rsidR="00F76972" w:rsidRPr="00FB5991" w14:paraId="19C3BB60" w14:textId="77777777" w:rsidTr="000D76F8">
        <w:trPr>
          <w:cantSplit/>
          <w:jc w:val="center"/>
        </w:trPr>
        <w:tc>
          <w:tcPr>
            <w:tcW w:w="3159" w:type="dxa"/>
            <w:gridSpan w:val="2"/>
            <w:noWrap/>
          </w:tcPr>
          <w:p w14:paraId="521654CF" w14:textId="77777777" w:rsidR="00F76972" w:rsidRPr="00FB5991" w:rsidRDefault="00F76972" w:rsidP="000D76F8">
            <w:pPr>
              <w:spacing w:before="40" w:after="40"/>
              <w:rPr>
                <w:rFonts w:ascii="Calibri" w:hAnsi="Calibri" w:cs="Calibri"/>
                <w:b/>
                <w:sz w:val="18"/>
                <w:szCs w:val="18"/>
              </w:rPr>
            </w:pPr>
            <w:r w:rsidRPr="00FB5991">
              <w:rPr>
                <w:rFonts w:ascii="Calibri" w:hAnsi="Calibri" w:cs="Calibri"/>
                <w:b/>
                <w:sz w:val="18"/>
                <w:szCs w:val="18"/>
              </w:rPr>
              <w:t>Reported in</w:t>
            </w:r>
          </w:p>
        </w:tc>
        <w:tc>
          <w:tcPr>
            <w:tcW w:w="6855" w:type="dxa"/>
            <w:gridSpan w:val="8"/>
          </w:tcPr>
          <w:p w14:paraId="3DC06A88"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National Mental Health Report</w:t>
            </w:r>
          </w:p>
        </w:tc>
      </w:tr>
      <w:tr w:rsidR="00F76972" w:rsidRPr="00FB5991" w14:paraId="3B5C4F13" w14:textId="77777777" w:rsidTr="000D76F8">
        <w:trPr>
          <w:cantSplit/>
          <w:jc w:val="center"/>
        </w:trPr>
        <w:tc>
          <w:tcPr>
            <w:tcW w:w="10014" w:type="dxa"/>
            <w:gridSpan w:val="10"/>
            <w:shd w:val="clear" w:color="auto" w:fill="DBE5F1"/>
            <w:noWrap/>
          </w:tcPr>
          <w:p w14:paraId="04F80ECC" w14:textId="77777777" w:rsidR="00F76972" w:rsidRPr="00FB5991" w:rsidRDefault="00F76972" w:rsidP="000D76F8">
            <w:pPr>
              <w:spacing w:before="40" w:after="40"/>
              <w:rPr>
                <w:rFonts w:ascii="Calibri" w:hAnsi="Calibri" w:cs="Calibri"/>
                <w:b/>
                <w:szCs w:val="18"/>
              </w:rPr>
            </w:pPr>
            <w:r w:rsidRPr="00FB5991">
              <w:rPr>
                <w:rFonts w:ascii="Calibri" w:hAnsi="Calibri" w:cs="Calibri"/>
                <w:b/>
                <w:szCs w:val="18"/>
              </w:rPr>
              <w:t>National Mental Health Performance Framework</w:t>
            </w:r>
          </w:p>
        </w:tc>
      </w:tr>
      <w:tr w:rsidR="00F76972" w:rsidRPr="00FB5991" w14:paraId="0461E3AC" w14:textId="77777777" w:rsidTr="000D76F8">
        <w:trPr>
          <w:cantSplit/>
          <w:jc w:val="center"/>
        </w:trPr>
        <w:tc>
          <w:tcPr>
            <w:tcW w:w="3159" w:type="dxa"/>
            <w:gridSpan w:val="2"/>
            <w:noWrap/>
          </w:tcPr>
          <w:p w14:paraId="5F5250C3" w14:textId="77777777" w:rsidR="00F76972" w:rsidRPr="00FB5991" w:rsidRDefault="00F76972" w:rsidP="000D76F8">
            <w:pPr>
              <w:spacing w:before="40" w:after="40"/>
              <w:rPr>
                <w:rFonts w:ascii="Calibri" w:hAnsi="Calibri" w:cs="Calibri"/>
                <w:b/>
                <w:sz w:val="18"/>
                <w:szCs w:val="18"/>
              </w:rPr>
            </w:pPr>
            <w:r w:rsidRPr="00FB5991">
              <w:rPr>
                <w:rFonts w:ascii="Calibri" w:hAnsi="Calibri" w:cs="Calibri"/>
                <w:b/>
                <w:sz w:val="18"/>
                <w:szCs w:val="18"/>
              </w:rPr>
              <w:t>Tier</w:t>
            </w:r>
          </w:p>
        </w:tc>
        <w:tc>
          <w:tcPr>
            <w:tcW w:w="6855" w:type="dxa"/>
            <w:gridSpan w:val="8"/>
          </w:tcPr>
          <w:p w14:paraId="73F11FE7"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Tier III – Health Service Performance</w:t>
            </w:r>
          </w:p>
        </w:tc>
      </w:tr>
      <w:tr w:rsidR="00F76972" w:rsidRPr="00FB5991" w14:paraId="42ECE9FE" w14:textId="77777777" w:rsidTr="000D76F8">
        <w:trPr>
          <w:cantSplit/>
          <w:jc w:val="center"/>
        </w:trPr>
        <w:tc>
          <w:tcPr>
            <w:tcW w:w="3159" w:type="dxa"/>
            <w:gridSpan w:val="2"/>
            <w:noWrap/>
          </w:tcPr>
          <w:p w14:paraId="3A67EF9D" w14:textId="77777777" w:rsidR="00F76972" w:rsidRPr="00FB5991" w:rsidRDefault="00F76972" w:rsidP="000D76F8">
            <w:pPr>
              <w:spacing w:before="40" w:after="40"/>
              <w:rPr>
                <w:rFonts w:ascii="Calibri" w:hAnsi="Calibri" w:cs="Calibri"/>
                <w:b/>
                <w:sz w:val="18"/>
                <w:szCs w:val="18"/>
              </w:rPr>
            </w:pPr>
            <w:r w:rsidRPr="00FB5991">
              <w:rPr>
                <w:rFonts w:ascii="Calibri" w:hAnsi="Calibri" w:cs="Calibri"/>
                <w:b/>
                <w:sz w:val="18"/>
                <w:szCs w:val="18"/>
              </w:rPr>
              <w:t>Primary domain</w:t>
            </w:r>
          </w:p>
        </w:tc>
        <w:tc>
          <w:tcPr>
            <w:tcW w:w="6855" w:type="dxa"/>
            <w:gridSpan w:val="8"/>
          </w:tcPr>
          <w:p w14:paraId="4060215E"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Accessibility</w:t>
            </w:r>
          </w:p>
        </w:tc>
      </w:tr>
      <w:tr w:rsidR="00F76972" w:rsidRPr="00FB5991" w14:paraId="6A8DFC6E" w14:textId="77777777" w:rsidTr="000D76F8">
        <w:trPr>
          <w:cantSplit/>
          <w:jc w:val="center"/>
        </w:trPr>
        <w:tc>
          <w:tcPr>
            <w:tcW w:w="3159" w:type="dxa"/>
            <w:gridSpan w:val="2"/>
            <w:noWrap/>
          </w:tcPr>
          <w:p w14:paraId="15D97CC2" w14:textId="77777777" w:rsidR="00F76972" w:rsidRPr="00FB5991" w:rsidRDefault="00F76972" w:rsidP="000D76F8">
            <w:pPr>
              <w:spacing w:before="40" w:after="40"/>
              <w:rPr>
                <w:rFonts w:ascii="Calibri" w:hAnsi="Calibri" w:cs="Calibri"/>
                <w:b/>
                <w:sz w:val="18"/>
                <w:szCs w:val="18"/>
              </w:rPr>
            </w:pPr>
            <w:r w:rsidRPr="00FB5991">
              <w:rPr>
                <w:rFonts w:ascii="Calibri" w:hAnsi="Calibri" w:cs="Calibri"/>
                <w:b/>
                <w:sz w:val="18"/>
                <w:szCs w:val="18"/>
              </w:rPr>
              <w:t>Secondary domain(s)</w:t>
            </w:r>
          </w:p>
        </w:tc>
        <w:tc>
          <w:tcPr>
            <w:tcW w:w="6855" w:type="dxa"/>
            <w:gridSpan w:val="8"/>
          </w:tcPr>
          <w:p w14:paraId="5393DCE4"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w:t>
            </w:r>
          </w:p>
        </w:tc>
      </w:tr>
      <w:tr w:rsidR="00F76972" w:rsidRPr="00FB5991" w14:paraId="35B6B6C6" w14:textId="77777777" w:rsidTr="000D76F8">
        <w:trPr>
          <w:cantSplit/>
          <w:jc w:val="center"/>
        </w:trPr>
        <w:tc>
          <w:tcPr>
            <w:tcW w:w="3159" w:type="dxa"/>
            <w:gridSpan w:val="2"/>
            <w:noWrap/>
          </w:tcPr>
          <w:p w14:paraId="6419ED7D" w14:textId="77777777" w:rsidR="00F76972" w:rsidRPr="00FB5991" w:rsidRDefault="00F76972" w:rsidP="000D76F8">
            <w:pPr>
              <w:spacing w:before="40" w:after="40"/>
              <w:rPr>
                <w:rFonts w:ascii="Calibri" w:hAnsi="Calibri" w:cs="Calibri"/>
                <w:b/>
                <w:sz w:val="18"/>
                <w:szCs w:val="18"/>
              </w:rPr>
            </w:pPr>
            <w:r w:rsidRPr="00FB5991">
              <w:rPr>
                <w:rFonts w:ascii="Calibri" w:hAnsi="Calibri" w:cs="Calibri"/>
                <w:b/>
                <w:sz w:val="18"/>
                <w:szCs w:val="18"/>
              </w:rPr>
              <w:t>Mental health sub-domain</w:t>
            </w:r>
          </w:p>
        </w:tc>
        <w:tc>
          <w:tcPr>
            <w:tcW w:w="6855" w:type="dxa"/>
            <w:gridSpan w:val="8"/>
          </w:tcPr>
          <w:p w14:paraId="51B8B2F8"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Access for those in need</w:t>
            </w:r>
          </w:p>
        </w:tc>
      </w:tr>
      <w:tr w:rsidR="00F76972" w:rsidRPr="00FB5991" w14:paraId="2FCB5132" w14:textId="77777777" w:rsidTr="000D76F8">
        <w:trPr>
          <w:cantSplit/>
          <w:jc w:val="center"/>
        </w:trPr>
        <w:tc>
          <w:tcPr>
            <w:tcW w:w="3159" w:type="dxa"/>
            <w:gridSpan w:val="2"/>
            <w:noWrap/>
          </w:tcPr>
          <w:p w14:paraId="3D8EAC3C" w14:textId="77777777" w:rsidR="00F76972" w:rsidRPr="00FB5991" w:rsidRDefault="00F76972" w:rsidP="000D76F8">
            <w:pPr>
              <w:spacing w:before="40" w:after="40"/>
              <w:rPr>
                <w:rFonts w:ascii="Calibri" w:hAnsi="Calibri" w:cs="Calibri"/>
                <w:b/>
                <w:bCs/>
                <w:sz w:val="18"/>
                <w:szCs w:val="18"/>
              </w:rPr>
            </w:pPr>
            <w:r w:rsidRPr="00FB5991">
              <w:rPr>
                <w:rFonts w:ascii="Calibri" w:hAnsi="Calibri" w:cs="Calibri"/>
                <w:b/>
                <w:bCs/>
                <w:sz w:val="18"/>
                <w:szCs w:val="18"/>
              </w:rPr>
              <w:t xml:space="preserve">Type of measure </w:t>
            </w:r>
          </w:p>
        </w:tc>
        <w:tc>
          <w:tcPr>
            <w:tcW w:w="6855" w:type="dxa"/>
            <w:gridSpan w:val="8"/>
          </w:tcPr>
          <w:p w14:paraId="25725FA0"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highlight w:val="yellow"/>
              </w:rPr>
              <w:t>Output</w:t>
            </w:r>
          </w:p>
        </w:tc>
      </w:tr>
      <w:tr w:rsidR="00F76972" w:rsidRPr="00FB5991" w14:paraId="0A6C6A8D" w14:textId="77777777" w:rsidTr="000D76F8">
        <w:trPr>
          <w:cantSplit/>
          <w:trHeight w:val="102"/>
          <w:jc w:val="center"/>
        </w:trPr>
        <w:tc>
          <w:tcPr>
            <w:tcW w:w="3159" w:type="dxa"/>
            <w:gridSpan w:val="2"/>
            <w:vMerge w:val="restart"/>
            <w:noWrap/>
          </w:tcPr>
          <w:p w14:paraId="25F6BD5D" w14:textId="77777777" w:rsidR="00F76972" w:rsidRPr="00FB5991" w:rsidRDefault="00F76972" w:rsidP="000D76F8">
            <w:pPr>
              <w:spacing w:before="40" w:after="40"/>
              <w:rPr>
                <w:rFonts w:ascii="Calibri" w:hAnsi="Calibri" w:cs="Calibri"/>
                <w:b/>
                <w:sz w:val="18"/>
                <w:szCs w:val="18"/>
              </w:rPr>
            </w:pPr>
            <w:r w:rsidRPr="00FB5991">
              <w:rPr>
                <w:rFonts w:ascii="Calibri" w:hAnsi="Calibri" w:cs="Calibri"/>
                <w:b/>
                <w:sz w:val="18"/>
                <w:szCs w:val="18"/>
              </w:rPr>
              <w:t>Level at which indicator can be useful for benchmarking</w:t>
            </w:r>
          </w:p>
        </w:tc>
        <w:tc>
          <w:tcPr>
            <w:tcW w:w="2976" w:type="dxa"/>
            <w:gridSpan w:val="3"/>
            <w:vAlign w:val="center"/>
          </w:tcPr>
          <w:p w14:paraId="05CB563B"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Service unit</w:t>
            </w:r>
          </w:p>
        </w:tc>
        <w:tc>
          <w:tcPr>
            <w:tcW w:w="430" w:type="dxa"/>
            <w:vAlign w:val="center"/>
          </w:tcPr>
          <w:p w14:paraId="64B7C6CF"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x</w:t>
            </w:r>
          </w:p>
        </w:tc>
        <w:tc>
          <w:tcPr>
            <w:tcW w:w="3060" w:type="dxa"/>
            <w:gridSpan w:val="2"/>
            <w:vAlign w:val="center"/>
          </w:tcPr>
          <w:p w14:paraId="7952E7EF"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Mental Health Service Organisation</w:t>
            </w:r>
          </w:p>
        </w:tc>
        <w:tc>
          <w:tcPr>
            <w:tcW w:w="389" w:type="dxa"/>
            <w:gridSpan w:val="2"/>
            <w:vAlign w:val="center"/>
          </w:tcPr>
          <w:p w14:paraId="7C98BBE0"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x</w:t>
            </w:r>
          </w:p>
        </w:tc>
      </w:tr>
      <w:tr w:rsidR="00F76972" w:rsidRPr="00FB5991" w14:paraId="04596C46" w14:textId="77777777" w:rsidTr="000D76F8">
        <w:trPr>
          <w:cantSplit/>
          <w:trHeight w:val="102"/>
          <w:jc w:val="center"/>
        </w:trPr>
        <w:tc>
          <w:tcPr>
            <w:tcW w:w="3159" w:type="dxa"/>
            <w:gridSpan w:val="2"/>
            <w:vMerge/>
            <w:noWrap/>
            <w:vAlign w:val="center"/>
          </w:tcPr>
          <w:p w14:paraId="7C406588" w14:textId="77777777" w:rsidR="00F76972" w:rsidRPr="00FB5991" w:rsidRDefault="00F76972" w:rsidP="000D76F8">
            <w:pPr>
              <w:pStyle w:val="StyleBefore2ptAfter2ptLinespacingsingle"/>
              <w:rPr>
                <w:rFonts w:ascii="Calibri" w:hAnsi="Calibri" w:cs="Calibri"/>
                <w:sz w:val="18"/>
                <w:szCs w:val="18"/>
                <w:lang w:eastAsia="en-AU"/>
              </w:rPr>
            </w:pPr>
          </w:p>
        </w:tc>
        <w:tc>
          <w:tcPr>
            <w:tcW w:w="2976" w:type="dxa"/>
            <w:gridSpan w:val="3"/>
            <w:vAlign w:val="center"/>
          </w:tcPr>
          <w:p w14:paraId="4D840918"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Regional group of services</w:t>
            </w:r>
          </w:p>
        </w:tc>
        <w:tc>
          <w:tcPr>
            <w:tcW w:w="430" w:type="dxa"/>
            <w:vAlign w:val="center"/>
          </w:tcPr>
          <w:p w14:paraId="5D5DACC4"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x</w:t>
            </w:r>
          </w:p>
        </w:tc>
        <w:tc>
          <w:tcPr>
            <w:tcW w:w="3060" w:type="dxa"/>
            <w:gridSpan w:val="2"/>
            <w:vAlign w:val="center"/>
          </w:tcPr>
          <w:p w14:paraId="6DB9CD3E"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State/Territory</w:t>
            </w:r>
          </w:p>
        </w:tc>
        <w:tc>
          <w:tcPr>
            <w:tcW w:w="389" w:type="dxa"/>
            <w:gridSpan w:val="2"/>
            <w:vAlign w:val="center"/>
          </w:tcPr>
          <w:p w14:paraId="0C03AEE6"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w:t>
            </w:r>
          </w:p>
        </w:tc>
      </w:tr>
      <w:tr w:rsidR="00F76972" w:rsidRPr="00FB5991" w14:paraId="5CFE4744" w14:textId="77777777" w:rsidTr="000D76F8">
        <w:trPr>
          <w:cantSplit/>
          <w:jc w:val="center"/>
        </w:trPr>
        <w:tc>
          <w:tcPr>
            <w:tcW w:w="3159" w:type="dxa"/>
            <w:gridSpan w:val="2"/>
            <w:tcBorders>
              <w:bottom w:val="single" w:sz="4" w:space="0" w:color="365F91"/>
            </w:tcBorders>
            <w:noWrap/>
          </w:tcPr>
          <w:p w14:paraId="759B6E2D" w14:textId="77777777" w:rsidR="00F76972" w:rsidRPr="00FB5991" w:rsidRDefault="00F76972" w:rsidP="000D76F8">
            <w:pPr>
              <w:spacing w:before="40" w:after="40"/>
              <w:rPr>
                <w:rFonts w:ascii="Calibri" w:hAnsi="Calibri" w:cs="Calibri"/>
                <w:b/>
                <w:bCs/>
                <w:strike/>
                <w:sz w:val="18"/>
                <w:szCs w:val="18"/>
              </w:rPr>
            </w:pPr>
            <w:r w:rsidRPr="00FB5991">
              <w:rPr>
                <w:rFonts w:ascii="Calibri" w:hAnsi="Calibri" w:cs="Calibri"/>
                <w:b/>
                <w:bCs/>
                <w:sz w:val="18"/>
                <w:szCs w:val="18"/>
              </w:rPr>
              <w:t>Related performance indicators and performance benchmarks</w:t>
            </w:r>
          </w:p>
        </w:tc>
        <w:tc>
          <w:tcPr>
            <w:tcW w:w="6855" w:type="dxa"/>
            <w:gridSpan w:val="8"/>
          </w:tcPr>
          <w:p w14:paraId="66DEAFC1"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MHS PI 1 - Change in consumers clinical outcomes</w:t>
            </w:r>
          </w:p>
          <w:p w14:paraId="08095F40"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MHS PI 8 - Population Receiving Care</w:t>
            </w:r>
          </w:p>
          <w:p w14:paraId="6A97CF72"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MHS PI 9 - New Client Index</w:t>
            </w:r>
          </w:p>
        </w:tc>
      </w:tr>
      <w:tr w:rsidR="00F76972" w:rsidRPr="00FB5991" w14:paraId="1696050D" w14:textId="77777777" w:rsidTr="000D76F8">
        <w:trPr>
          <w:cantSplit/>
          <w:jc w:val="center"/>
        </w:trPr>
        <w:tc>
          <w:tcPr>
            <w:tcW w:w="3159" w:type="dxa"/>
            <w:gridSpan w:val="2"/>
            <w:shd w:val="clear" w:color="auto" w:fill="auto"/>
            <w:noWrap/>
          </w:tcPr>
          <w:p w14:paraId="2200E966" w14:textId="77777777" w:rsidR="00F76972" w:rsidRPr="00FB5991" w:rsidRDefault="00F76972" w:rsidP="000D76F8">
            <w:pPr>
              <w:spacing w:before="40" w:after="40"/>
              <w:rPr>
                <w:rFonts w:ascii="Calibri" w:hAnsi="Calibri" w:cs="Calibri"/>
                <w:b/>
                <w:bCs/>
                <w:sz w:val="18"/>
                <w:szCs w:val="18"/>
                <w:highlight w:val="yellow"/>
              </w:rPr>
            </w:pPr>
            <w:r w:rsidRPr="00FB5991">
              <w:rPr>
                <w:rFonts w:ascii="Calibri" w:hAnsi="Calibri" w:cs="Calibri"/>
                <w:b/>
                <w:bCs/>
                <w:sz w:val="18"/>
                <w:szCs w:val="18"/>
              </w:rPr>
              <w:lastRenderedPageBreak/>
              <w:t>Supplementary indicators</w:t>
            </w:r>
          </w:p>
        </w:tc>
        <w:tc>
          <w:tcPr>
            <w:tcW w:w="3427" w:type="dxa"/>
            <w:gridSpan w:val="5"/>
          </w:tcPr>
          <w:p w14:paraId="1806C4E6" w14:textId="77777777" w:rsidR="00F76972" w:rsidRPr="00FB5991" w:rsidRDefault="00F76972" w:rsidP="000D76F8">
            <w:pPr>
              <w:spacing w:before="40" w:after="40"/>
              <w:rPr>
                <w:rFonts w:ascii="Calibri" w:hAnsi="Calibri" w:cs="Calibri"/>
                <w:sz w:val="18"/>
                <w:szCs w:val="18"/>
                <w:highlight w:val="yellow"/>
              </w:rPr>
            </w:pPr>
          </w:p>
        </w:tc>
        <w:tc>
          <w:tcPr>
            <w:tcW w:w="3428" w:type="dxa"/>
            <w:gridSpan w:val="3"/>
          </w:tcPr>
          <w:p w14:paraId="56BC7309" w14:textId="77777777" w:rsidR="00F76972" w:rsidRPr="00FB5991" w:rsidRDefault="00F76972" w:rsidP="000D76F8">
            <w:pPr>
              <w:spacing w:before="40" w:after="40"/>
              <w:rPr>
                <w:rFonts w:ascii="Calibri" w:hAnsi="Calibri" w:cs="Calibri"/>
                <w:sz w:val="18"/>
                <w:szCs w:val="18"/>
                <w:highlight w:val="yellow"/>
              </w:rPr>
            </w:pPr>
          </w:p>
        </w:tc>
      </w:tr>
      <w:tr w:rsidR="00F76972" w:rsidRPr="00FB5991" w14:paraId="5648FCE5" w14:textId="77777777" w:rsidTr="000D76F8">
        <w:trPr>
          <w:cantSplit/>
          <w:jc w:val="center"/>
        </w:trPr>
        <w:tc>
          <w:tcPr>
            <w:tcW w:w="10014" w:type="dxa"/>
            <w:gridSpan w:val="10"/>
            <w:shd w:val="clear" w:color="auto" w:fill="DBE5F1"/>
            <w:noWrap/>
          </w:tcPr>
          <w:p w14:paraId="144C82F7" w14:textId="77777777" w:rsidR="00F76972" w:rsidRPr="00FB5991" w:rsidRDefault="00F76972" w:rsidP="000D76F8">
            <w:pPr>
              <w:spacing w:before="40" w:after="40"/>
              <w:rPr>
                <w:rFonts w:ascii="Calibri" w:hAnsi="Calibri" w:cs="Calibri"/>
                <w:b/>
                <w:szCs w:val="18"/>
              </w:rPr>
            </w:pPr>
            <w:r w:rsidRPr="00FB5991">
              <w:rPr>
                <w:rFonts w:ascii="Calibri" w:hAnsi="Calibri" w:cs="Calibri"/>
                <w:b/>
                <w:szCs w:val="18"/>
              </w:rPr>
              <w:t>Data collection details</w:t>
            </w:r>
          </w:p>
        </w:tc>
      </w:tr>
      <w:tr w:rsidR="00F76972" w:rsidRPr="00FB5991" w14:paraId="2E10CB88" w14:textId="77777777" w:rsidTr="000D76F8">
        <w:trPr>
          <w:cantSplit/>
          <w:trHeight w:val="109"/>
          <w:jc w:val="center"/>
        </w:trPr>
        <w:tc>
          <w:tcPr>
            <w:tcW w:w="3159" w:type="dxa"/>
            <w:gridSpan w:val="2"/>
            <w:vMerge w:val="restart"/>
            <w:noWrap/>
          </w:tcPr>
          <w:p w14:paraId="491ABBC0" w14:textId="77777777" w:rsidR="00F76972" w:rsidRPr="00FB5991" w:rsidRDefault="00F76972" w:rsidP="000D76F8">
            <w:pPr>
              <w:spacing w:before="40" w:after="40"/>
              <w:rPr>
                <w:rFonts w:ascii="Calibri" w:hAnsi="Calibri" w:cs="Calibri"/>
                <w:b/>
                <w:sz w:val="18"/>
                <w:szCs w:val="18"/>
              </w:rPr>
            </w:pPr>
            <w:r w:rsidRPr="00FB5991">
              <w:rPr>
                <w:rFonts w:ascii="Calibri" w:hAnsi="Calibri" w:cs="Calibri"/>
                <w:b/>
                <w:sz w:val="18"/>
                <w:szCs w:val="18"/>
              </w:rPr>
              <w:t>Data source(s)</w:t>
            </w:r>
          </w:p>
        </w:tc>
        <w:tc>
          <w:tcPr>
            <w:tcW w:w="1523" w:type="dxa"/>
            <w:gridSpan w:val="2"/>
          </w:tcPr>
          <w:p w14:paraId="21A1976F"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Numerator:</w:t>
            </w:r>
          </w:p>
        </w:tc>
        <w:tc>
          <w:tcPr>
            <w:tcW w:w="5332" w:type="dxa"/>
            <w:gridSpan w:val="6"/>
          </w:tcPr>
          <w:p w14:paraId="4F3B3944"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 xml:space="preserve">National Outcomes and </w:t>
            </w:r>
            <w:proofErr w:type="spellStart"/>
            <w:r w:rsidRPr="00FB5991">
              <w:rPr>
                <w:rFonts w:ascii="Calibri" w:hAnsi="Calibri" w:cs="Calibri"/>
                <w:sz w:val="18"/>
                <w:szCs w:val="18"/>
              </w:rPr>
              <w:t>Casemix</w:t>
            </w:r>
            <w:proofErr w:type="spellEnd"/>
            <w:r w:rsidRPr="00FB5991">
              <w:rPr>
                <w:rFonts w:ascii="Calibri" w:hAnsi="Calibri" w:cs="Calibri"/>
                <w:sz w:val="18"/>
                <w:szCs w:val="18"/>
              </w:rPr>
              <w:t xml:space="preserve"> Collection</w:t>
            </w:r>
          </w:p>
        </w:tc>
      </w:tr>
      <w:tr w:rsidR="00F76972" w:rsidRPr="00FB5991" w14:paraId="5C783737" w14:textId="77777777" w:rsidTr="000D76F8">
        <w:trPr>
          <w:cantSplit/>
          <w:trHeight w:val="109"/>
          <w:jc w:val="center"/>
        </w:trPr>
        <w:tc>
          <w:tcPr>
            <w:tcW w:w="3159" w:type="dxa"/>
            <w:gridSpan w:val="2"/>
            <w:vMerge/>
            <w:noWrap/>
          </w:tcPr>
          <w:p w14:paraId="555CF47A" w14:textId="77777777" w:rsidR="00F76972" w:rsidRPr="00FB5991" w:rsidRDefault="00F76972" w:rsidP="000D76F8">
            <w:pPr>
              <w:spacing w:before="40" w:after="40"/>
              <w:rPr>
                <w:rFonts w:ascii="Calibri" w:hAnsi="Calibri" w:cs="Calibri"/>
                <w:b/>
                <w:sz w:val="18"/>
                <w:szCs w:val="18"/>
              </w:rPr>
            </w:pPr>
          </w:p>
        </w:tc>
        <w:tc>
          <w:tcPr>
            <w:tcW w:w="1523" w:type="dxa"/>
            <w:gridSpan w:val="2"/>
          </w:tcPr>
          <w:p w14:paraId="6A1BBE84"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Denominator:</w:t>
            </w:r>
          </w:p>
        </w:tc>
        <w:tc>
          <w:tcPr>
            <w:tcW w:w="5332" w:type="dxa"/>
            <w:gridSpan w:val="6"/>
          </w:tcPr>
          <w:p w14:paraId="4568B1C2"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 xml:space="preserve">National Outcomes and </w:t>
            </w:r>
            <w:proofErr w:type="spellStart"/>
            <w:r w:rsidRPr="00FB5991">
              <w:rPr>
                <w:rFonts w:ascii="Calibri" w:hAnsi="Calibri" w:cs="Calibri"/>
                <w:sz w:val="18"/>
                <w:szCs w:val="18"/>
              </w:rPr>
              <w:t>Casemix</w:t>
            </w:r>
            <w:proofErr w:type="spellEnd"/>
            <w:r w:rsidRPr="00FB5991">
              <w:rPr>
                <w:rFonts w:ascii="Calibri" w:hAnsi="Calibri" w:cs="Calibri"/>
                <w:sz w:val="18"/>
                <w:szCs w:val="18"/>
              </w:rPr>
              <w:t xml:space="preserve"> Collection</w:t>
            </w:r>
          </w:p>
        </w:tc>
      </w:tr>
      <w:tr w:rsidR="00F76972" w:rsidRPr="00FB5991" w14:paraId="2E93227F" w14:textId="77777777" w:rsidTr="000D76F8">
        <w:trPr>
          <w:cantSplit/>
          <w:trHeight w:val="109"/>
          <w:jc w:val="center"/>
        </w:trPr>
        <w:tc>
          <w:tcPr>
            <w:tcW w:w="3159" w:type="dxa"/>
            <w:gridSpan w:val="2"/>
            <w:vMerge w:val="restart"/>
            <w:noWrap/>
          </w:tcPr>
          <w:p w14:paraId="0AEB2DB9" w14:textId="77777777" w:rsidR="00F76972" w:rsidRPr="00FB5991" w:rsidRDefault="00F76972" w:rsidP="000D76F8">
            <w:pPr>
              <w:spacing w:before="40" w:after="40"/>
              <w:rPr>
                <w:rFonts w:ascii="Calibri" w:hAnsi="Calibri" w:cs="Calibri"/>
                <w:b/>
                <w:sz w:val="18"/>
                <w:szCs w:val="18"/>
              </w:rPr>
            </w:pPr>
            <w:r w:rsidRPr="00FB5991">
              <w:rPr>
                <w:rFonts w:ascii="Calibri" w:hAnsi="Calibri" w:cs="Calibri"/>
                <w:b/>
                <w:sz w:val="18"/>
                <w:szCs w:val="18"/>
              </w:rPr>
              <w:t>Data source(s) type</w:t>
            </w:r>
          </w:p>
        </w:tc>
        <w:tc>
          <w:tcPr>
            <w:tcW w:w="1523" w:type="dxa"/>
            <w:gridSpan w:val="2"/>
          </w:tcPr>
          <w:p w14:paraId="7B45C588"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Numerator:</w:t>
            </w:r>
          </w:p>
        </w:tc>
        <w:tc>
          <w:tcPr>
            <w:tcW w:w="5332" w:type="dxa"/>
            <w:gridSpan w:val="6"/>
          </w:tcPr>
          <w:p w14:paraId="3EB7DC81"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Clinical Outcomes Measure</w:t>
            </w:r>
          </w:p>
        </w:tc>
      </w:tr>
      <w:tr w:rsidR="00F76972" w:rsidRPr="00FB5991" w14:paraId="18030607" w14:textId="77777777" w:rsidTr="000D76F8">
        <w:trPr>
          <w:cantSplit/>
          <w:trHeight w:val="109"/>
          <w:jc w:val="center"/>
        </w:trPr>
        <w:tc>
          <w:tcPr>
            <w:tcW w:w="3159" w:type="dxa"/>
            <w:gridSpan w:val="2"/>
            <w:vMerge/>
            <w:noWrap/>
          </w:tcPr>
          <w:p w14:paraId="5D9F2F9C" w14:textId="77777777" w:rsidR="00F76972" w:rsidRPr="00FB5991" w:rsidRDefault="00F76972" w:rsidP="000D76F8">
            <w:pPr>
              <w:spacing w:before="40" w:after="40"/>
              <w:rPr>
                <w:rFonts w:ascii="Calibri" w:hAnsi="Calibri" w:cs="Calibri"/>
                <w:b/>
                <w:sz w:val="18"/>
                <w:szCs w:val="18"/>
              </w:rPr>
            </w:pPr>
          </w:p>
        </w:tc>
        <w:tc>
          <w:tcPr>
            <w:tcW w:w="1523" w:type="dxa"/>
            <w:gridSpan w:val="2"/>
          </w:tcPr>
          <w:p w14:paraId="3EF26CD5"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Denominator:</w:t>
            </w:r>
          </w:p>
        </w:tc>
        <w:tc>
          <w:tcPr>
            <w:tcW w:w="5332" w:type="dxa"/>
            <w:gridSpan w:val="6"/>
          </w:tcPr>
          <w:p w14:paraId="7545F633"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Clinical Outcomes Measure</w:t>
            </w:r>
          </w:p>
        </w:tc>
      </w:tr>
      <w:tr w:rsidR="00F76972" w:rsidRPr="00FB5991" w14:paraId="54B41ACE" w14:textId="77777777" w:rsidTr="000D76F8">
        <w:trPr>
          <w:cantSplit/>
          <w:trHeight w:val="109"/>
          <w:jc w:val="center"/>
        </w:trPr>
        <w:tc>
          <w:tcPr>
            <w:tcW w:w="3159" w:type="dxa"/>
            <w:gridSpan w:val="2"/>
            <w:vMerge w:val="restart"/>
            <w:noWrap/>
          </w:tcPr>
          <w:p w14:paraId="470B0BFD" w14:textId="77777777" w:rsidR="00F76972" w:rsidRPr="00FB5991" w:rsidRDefault="00F76972" w:rsidP="000D76F8">
            <w:pPr>
              <w:spacing w:before="40" w:after="40"/>
              <w:rPr>
                <w:rFonts w:ascii="Calibri" w:hAnsi="Calibri" w:cs="Calibri"/>
                <w:b/>
                <w:sz w:val="18"/>
                <w:szCs w:val="18"/>
              </w:rPr>
            </w:pPr>
            <w:r w:rsidRPr="00FB5991">
              <w:rPr>
                <w:rFonts w:ascii="Calibri" w:hAnsi="Calibri" w:cs="Calibri"/>
                <w:b/>
                <w:sz w:val="18"/>
                <w:szCs w:val="18"/>
              </w:rPr>
              <w:t>Frequency of data source(s) collection</w:t>
            </w:r>
          </w:p>
        </w:tc>
        <w:tc>
          <w:tcPr>
            <w:tcW w:w="1523" w:type="dxa"/>
            <w:gridSpan w:val="2"/>
          </w:tcPr>
          <w:p w14:paraId="0DD7D3C3"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Numerator:</w:t>
            </w:r>
          </w:p>
        </w:tc>
        <w:tc>
          <w:tcPr>
            <w:tcW w:w="5332" w:type="dxa"/>
            <w:gridSpan w:val="6"/>
          </w:tcPr>
          <w:p w14:paraId="2BE39411"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Annual</w:t>
            </w:r>
          </w:p>
        </w:tc>
      </w:tr>
      <w:tr w:rsidR="00F76972" w:rsidRPr="00FB5991" w14:paraId="2547700F" w14:textId="77777777" w:rsidTr="000D76F8">
        <w:trPr>
          <w:cantSplit/>
          <w:trHeight w:val="109"/>
          <w:jc w:val="center"/>
        </w:trPr>
        <w:tc>
          <w:tcPr>
            <w:tcW w:w="3159" w:type="dxa"/>
            <w:gridSpan w:val="2"/>
            <w:vMerge/>
            <w:noWrap/>
          </w:tcPr>
          <w:p w14:paraId="1C752761" w14:textId="77777777" w:rsidR="00F76972" w:rsidRPr="00FB5991" w:rsidRDefault="00F76972" w:rsidP="000D76F8">
            <w:pPr>
              <w:spacing w:before="40" w:after="40"/>
              <w:rPr>
                <w:rFonts w:ascii="Calibri" w:hAnsi="Calibri" w:cs="Calibri"/>
                <w:b/>
                <w:sz w:val="18"/>
                <w:szCs w:val="18"/>
              </w:rPr>
            </w:pPr>
          </w:p>
        </w:tc>
        <w:tc>
          <w:tcPr>
            <w:tcW w:w="1523" w:type="dxa"/>
            <w:gridSpan w:val="2"/>
          </w:tcPr>
          <w:p w14:paraId="55748635"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Denominator:</w:t>
            </w:r>
          </w:p>
        </w:tc>
        <w:tc>
          <w:tcPr>
            <w:tcW w:w="5332" w:type="dxa"/>
            <w:gridSpan w:val="6"/>
          </w:tcPr>
          <w:p w14:paraId="724D9484"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Annual</w:t>
            </w:r>
          </w:p>
        </w:tc>
      </w:tr>
      <w:tr w:rsidR="00F76972" w:rsidRPr="00FB5991" w14:paraId="7C8657FA" w14:textId="77777777" w:rsidTr="000D76F8">
        <w:trPr>
          <w:cantSplit/>
          <w:trHeight w:val="109"/>
          <w:jc w:val="center"/>
        </w:trPr>
        <w:tc>
          <w:tcPr>
            <w:tcW w:w="3159" w:type="dxa"/>
            <w:gridSpan w:val="2"/>
            <w:vMerge w:val="restart"/>
            <w:noWrap/>
          </w:tcPr>
          <w:p w14:paraId="40A2BCB3" w14:textId="77777777" w:rsidR="00F76972" w:rsidRPr="00FB5991" w:rsidRDefault="00F76972" w:rsidP="000D76F8">
            <w:pPr>
              <w:spacing w:before="40" w:after="40"/>
              <w:rPr>
                <w:rFonts w:ascii="Calibri" w:hAnsi="Calibri" w:cs="Calibri"/>
                <w:b/>
                <w:sz w:val="18"/>
                <w:szCs w:val="18"/>
              </w:rPr>
            </w:pPr>
            <w:r w:rsidRPr="00FB5991">
              <w:rPr>
                <w:rFonts w:ascii="Calibri" w:hAnsi="Calibri" w:cs="Calibri"/>
                <w:b/>
                <w:sz w:val="18"/>
                <w:szCs w:val="18"/>
              </w:rPr>
              <w:t>Data development</w:t>
            </w:r>
          </w:p>
        </w:tc>
        <w:tc>
          <w:tcPr>
            <w:tcW w:w="1523" w:type="dxa"/>
            <w:gridSpan w:val="2"/>
          </w:tcPr>
          <w:p w14:paraId="3E2E0348"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Short-term:</w:t>
            </w:r>
          </w:p>
        </w:tc>
        <w:tc>
          <w:tcPr>
            <w:tcW w:w="5332" w:type="dxa"/>
            <w:gridSpan w:val="6"/>
          </w:tcPr>
          <w:p w14:paraId="0640BC59"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None required in instrument or protocol or data storage</w:t>
            </w:r>
          </w:p>
        </w:tc>
      </w:tr>
      <w:tr w:rsidR="00F76972" w:rsidRPr="00FB5991" w14:paraId="0E65754A" w14:textId="77777777" w:rsidTr="000D76F8">
        <w:trPr>
          <w:cantSplit/>
          <w:trHeight w:val="108"/>
          <w:jc w:val="center"/>
        </w:trPr>
        <w:tc>
          <w:tcPr>
            <w:tcW w:w="3159" w:type="dxa"/>
            <w:gridSpan w:val="2"/>
            <w:vMerge/>
            <w:shd w:val="clear" w:color="auto" w:fill="FFCC99"/>
            <w:noWrap/>
          </w:tcPr>
          <w:p w14:paraId="48EA141F" w14:textId="77777777" w:rsidR="00F76972" w:rsidRPr="00FB5991" w:rsidRDefault="00F76972" w:rsidP="000D76F8">
            <w:pPr>
              <w:spacing w:before="40" w:after="40"/>
              <w:rPr>
                <w:rFonts w:ascii="Calibri" w:hAnsi="Calibri" w:cs="Calibri"/>
                <w:sz w:val="18"/>
                <w:szCs w:val="18"/>
              </w:rPr>
            </w:pPr>
          </w:p>
        </w:tc>
        <w:tc>
          <w:tcPr>
            <w:tcW w:w="1523" w:type="dxa"/>
            <w:gridSpan w:val="2"/>
          </w:tcPr>
          <w:p w14:paraId="5712BE4E"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Medium-term:</w:t>
            </w:r>
          </w:p>
        </w:tc>
        <w:tc>
          <w:tcPr>
            <w:tcW w:w="5332" w:type="dxa"/>
            <w:gridSpan w:val="6"/>
          </w:tcPr>
          <w:p w14:paraId="051B9666"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None required</w:t>
            </w:r>
          </w:p>
        </w:tc>
      </w:tr>
      <w:tr w:rsidR="00F76972" w:rsidRPr="00FB5991" w14:paraId="3A7F2C0D" w14:textId="77777777" w:rsidTr="000D76F8">
        <w:trPr>
          <w:cantSplit/>
          <w:trHeight w:val="108"/>
          <w:jc w:val="center"/>
        </w:trPr>
        <w:tc>
          <w:tcPr>
            <w:tcW w:w="3159" w:type="dxa"/>
            <w:gridSpan w:val="2"/>
            <w:vMerge/>
            <w:shd w:val="clear" w:color="auto" w:fill="FFCC99"/>
            <w:noWrap/>
          </w:tcPr>
          <w:p w14:paraId="65514E21" w14:textId="77777777" w:rsidR="00F76972" w:rsidRPr="00FB5991" w:rsidRDefault="00F76972" w:rsidP="000D76F8">
            <w:pPr>
              <w:spacing w:before="40" w:after="40"/>
              <w:rPr>
                <w:rFonts w:ascii="Calibri" w:hAnsi="Calibri" w:cs="Calibri"/>
                <w:sz w:val="18"/>
                <w:szCs w:val="18"/>
              </w:rPr>
            </w:pPr>
          </w:p>
        </w:tc>
        <w:tc>
          <w:tcPr>
            <w:tcW w:w="1523" w:type="dxa"/>
            <w:gridSpan w:val="2"/>
          </w:tcPr>
          <w:p w14:paraId="7B2F354E"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Long-term:</w:t>
            </w:r>
          </w:p>
        </w:tc>
        <w:tc>
          <w:tcPr>
            <w:tcW w:w="5332" w:type="dxa"/>
            <w:gridSpan w:val="6"/>
          </w:tcPr>
          <w:p w14:paraId="5D1CF210"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None required</w:t>
            </w:r>
          </w:p>
        </w:tc>
      </w:tr>
      <w:tr w:rsidR="00F76972" w:rsidRPr="00FB5991" w14:paraId="44D2C87F" w14:textId="77777777" w:rsidTr="00F76972">
        <w:trPr>
          <w:gridBefore w:val="1"/>
          <w:gridAfter w:val="1"/>
          <w:wBefore w:w="46" w:type="dxa"/>
          <w:wAfter w:w="24" w:type="dxa"/>
          <w:jc w:val="center"/>
        </w:trPr>
        <w:tc>
          <w:tcPr>
            <w:tcW w:w="9944" w:type="dxa"/>
            <w:gridSpan w:val="8"/>
            <w:shd w:val="clear" w:color="auto" w:fill="DBE5F1"/>
            <w:noWrap/>
          </w:tcPr>
          <w:p w14:paraId="3BC9B934" w14:textId="77777777" w:rsidR="00F76972" w:rsidRPr="00FB5991" w:rsidRDefault="00F76972" w:rsidP="000D76F8">
            <w:pPr>
              <w:spacing w:before="40" w:after="40"/>
              <w:rPr>
                <w:rFonts w:ascii="Calibri" w:hAnsi="Calibri" w:cs="Calibri"/>
                <w:b/>
                <w:szCs w:val="18"/>
              </w:rPr>
            </w:pPr>
            <w:r w:rsidRPr="00FB5991">
              <w:rPr>
                <w:rFonts w:ascii="Calibri" w:hAnsi="Calibri" w:cs="Calibri"/>
                <w:b/>
                <w:szCs w:val="18"/>
              </w:rPr>
              <w:t>Construction of indicator from national data sets</w:t>
            </w:r>
          </w:p>
        </w:tc>
      </w:tr>
      <w:tr w:rsidR="00F76972" w:rsidRPr="00FB5991" w14:paraId="2AF6859E" w14:textId="77777777" w:rsidTr="00F76972">
        <w:trPr>
          <w:gridBefore w:val="1"/>
          <w:gridAfter w:val="1"/>
          <w:wBefore w:w="46" w:type="dxa"/>
          <w:wAfter w:w="24" w:type="dxa"/>
          <w:trHeight w:val="108"/>
          <w:jc w:val="center"/>
        </w:trPr>
        <w:tc>
          <w:tcPr>
            <w:tcW w:w="3393" w:type="dxa"/>
            <w:gridSpan w:val="2"/>
            <w:shd w:val="clear" w:color="auto" w:fill="auto"/>
            <w:noWrap/>
          </w:tcPr>
          <w:p w14:paraId="65628A59" w14:textId="77777777" w:rsidR="00F76972" w:rsidRPr="00FB5991" w:rsidRDefault="00F76972" w:rsidP="000D76F8">
            <w:pPr>
              <w:spacing w:before="40" w:after="40"/>
              <w:rPr>
                <w:rFonts w:ascii="Calibri" w:hAnsi="Calibri"/>
                <w:sz w:val="18"/>
                <w:szCs w:val="18"/>
              </w:rPr>
            </w:pPr>
            <w:r w:rsidRPr="00FB5991">
              <w:rPr>
                <w:rFonts w:ascii="Calibri" w:hAnsi="Calibri"/>
                <w:sz w:val="18"/>
                <w:szCs w:val="18"/>
              </w:rPr>
              <w:t>Capacity for the indicator to be constructed accurately from currently available national datasets?</w:t>
            </w:r>
          </w:p>
        </w:tc>
        <w:tc>
          <w:tcPr>
            <w:tcW w:w="6551" w:type="dxa"/>
            <w:gridSpan w:val="6"/>
          </w:tcPr>
          <w:p w14:paraId="10626CD9" w14:textId="77777777" w:rsidR="00F76972" w:rsidRPr="00FB5991" w:rsidRDefault="00F76972" w:rsidP="000D76F8">
            <w:pPr>
              <w:spacing w:before="40" w:after="40"/>
              <w:rPr>
                <w:rFonts w:ascii="Calibri" w:hAnsi="Calibri" w:cs="Calibri"/>
                <w:sz w:val="18"/>
                <w:szCs w:val="18"/>
              </w:rPr>
            </w:pPr>
            <w:r w:rsidRPr="00FB5991">
              <w:rPr>
                <w:rFonts w:ascii="Calibri" w:hAnsi="Calibri" w:cs="Calibri"/>
                <w:sz w:val="18"/>
                <w:szCs w:val="18"/>
              </w:rPr>
              <w:t>Available now</w:t>
            </w:r>
          </w:p>
        </w:tc>
      </w:tr>
      <w:tr w:rsidR="00F76972" w:rsidRPr="00FB5991" w14:paraId="42D497FB" w14:textId="77777777" w:rsidTr="00F76972">
        <w:trPr>
          <w:gridBefore w:val="1"/>
          <w:gridAfter w:val="1"/>
          <w:wBefore w:w="46" w:type="dxa"/>
          <w:wAfter w:w="24" w:type="dxa"/>
          <w:trHeight w:val="108"/>
          <w:jc w:val="center"/>
        </w:trPr>
        <w:tc>
          <w:tcPr>
            <w:tcW w:w="3393" w:type="dxa"/>
            <w:gridSpan w:val="2"/>
            <w:shd w:val="clear" w:color="auto" w:fill="auto"/>
            <w:noWrap/>
          </w:tcPr>
          <w:p w14:paraId="4E70CE7F" w14:textId="77777777" w:rsidR="00F76972" w:rsidRPr="00FB5991" w:rsidRDefault="00F76972" w:rsidP="000D76F8">
            <w:pPr>
              <w:spacing w:before="40" w:after="40"/>
              <w:rPr>
                <w:rFonts w:ascii="Calibri" w:hAnsi="Calibri"/>
                <w:sz w:val="18"/>
                <w:szCs w:val="18"/>
              </w:rPr>
            </w:pPr>
            <w:r w:rsidRPr="00FB5991">
              <w:rPr>
                <w:rFonts w:ascii="Calibri" w:hAnsi="Calibri"/>
                <w:sz w:val="18"/>
                <w:szCs w:val="18"/>
              </w:rPr>
              <w:t>If not, is there a proxy solution to construct the indicator from available national data?</w:t>
            </w:r>
          </w:p>
        </w:tc>
        <w:tc>
          <w:tcPr>
            <w:tcW w:w="6551" w:type="dxa"/>
            <w:gridSpan w:val="6"/>
          </w:tcPr>
          <w:p w14:paraId="58AEBEA5" w14:textId="77777777" w:rsidR="00F76972" w:rsidRPr="00FB5991" w:rsidRDefault="00F76972" w:rsidP="000D76F8">
            <w:pPr>
              <w:spacing w:before="40" w:after="40"/>
              <w:rPr>
                <w:rFonts w:ascii="Calibri" w:hAnsi="Calibri" w:cs="Calibri"/>
                <w:sz w:val="18"/>
                <w:szCs w:val="18"/>
              </w:rPr>
            </w:pPr>
          </w:p>
        </w:tc>
      </w:tr>
      <w:tr w:rsidR="00F76972" w:rsidRPr="00FB5991" w14:paraId="0D28F7B8" w14:textId="77777777" w:rsidTr="00F76972">
        <w:trPr>
          <w:gridBefore w:val="1"/>
          <w:gridAfter w:val="1"/>
          <w:wBefore w:w="46" w:type="dxa"/>
          <w:wAfter w:w="24" w:type="dxa"/>
          <w:trHeight w:val="108"/>
          <w:jc w:val="center"/>
        </w:trPr>
        <w:tc>
          <w:tcPr>
            <w:tcW w:w="3393" w:type="dxa"/>
            <w:gridSpan w:val="2"/>
            <w:shd w:val="clear" w:color="auto" w:fill="auto"/>
            <w:noWrap/>
          </w:tcPr>
          <w:p w14:paraId="70D7626E" w14:textId="77777777" w:rsidR="00F76972" w:rsidRPr="00FB5991" w:rsidRDefault="00F76972" w:rsidP="000D76F8">
            <w:pPr>
              <w:spacing w:before="40" w:after="40"/>
              <w:rPr>
                <w:rFonts w:ascii="Calibri" w:hAnsi="Calibri"/>
                <w:sz w:val="18"/>
                <w:szCs w:val="18"/>
              </w:rPr>
            </w:pPr>
            <w:r w:rsidRPr="00FB5991">
              <w:rPr>
                <w:rFonts w:ascii="Calibri" w:hAnsi="Calibri"/>
                <w:sz w:val="18"/>
                <w:szCs w:val="18"/>
              </w:rPr>
              <w:t>What needs to be done in the longer term to allow this indicator to be constructed from national dataset?</w:t>
            </w:r>
          </w:p>
        </w:tc>
        <w:tc>
          <w:tcPr>
            <w:tcW w:w="6551" w:type="dxa"/>
            <w:gridSpan w:val="6"/>
          </w:tcPr>
          <w:p w14:paraId="11E80588" w14:textId="77777777" w:rsidR="00F76972" w:rsidRPr="00FB5991" w:rsidRDefault="00F76972" w:rsidP="000D76F8">
            <w:pPr>
              <w:spacing w:before="40" w:after="40"/>
              <w:rPr>
                <w:rFonts w:ascii="Calibri" w:hAnsi="Calibri" w:cs="Calibri"/>
                <w:sz w:val="18"/>
                <w:szCs w:val="18"/>
              </w:rPr>
            </w:pPr>
          </w:p>
        </w:tc>
      </w:tr>
    </w:tbl>
    <w:p w14:paraId="77B401FE" w14:textId="77777777" w:rsidR="00F5188A" w:rsidRPr="00350F47" w:rsidRDefault="00F5188A" w:rsidP="00350F47"/>
    <w:sectPr w:rsidR="00F5188A" w:rsidRPr="00350F47" w:rsidSect="00F76972">
      <w:pgSz w:w="11906" w:h="16838" w:code="9"/>
      <w:pgMar w:top="1418" w:right="1418" w:bottom="1701" w:left="1418" w:header="113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3FBA" w14:textId="77777777" w:rsidR="009C6D51" w:rsidRDefault="009C6D51">
      <w:r>
        <w:separator/>
      </w:r>
    </w:p>
  </w:endnote>
  <w:endnote w:type="continuationSeparator" w:id="0">
    <w:p w14:paraId="0CB4462E" w14:textId="77777777" w:rsidR="009C6D51" w:rsidRDefault="009C6D51">
      <w:r>
        <w:continuationSeparator/>
      </w:r>
    </w:p>
    <w:p w14:paraId="7AF4FFD1" w14:textId="77777777" w:rsidR="009C6D51" w:rsidRDefault="009C6D51"/>
    <w:p w14:paraId="2406DC1B" w14:textId="77777777" w:rsidR="009C6D51" w:rsidRDefault="009C6D51"/>
    <w:p w14:paraId="3636AFEE" w14:textId="77777777" w:rsidR="009C6D51" w:rsidRDefault="009C6D51"/>
    <w:p w14:paraId="6B08192C" w14:textId="77777777" w:rsidR="009C6D51" w:rsidRDefault="009C6D51"/>
    <w:p w14:paraId="30BA936A" w14:textId="77777777" w:rsidR="009C6D51" w:rsidRDefault="009C6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A778" w14:textId="77777777" w:rsidR="00CD1D61" w:rsidRPr="00BE6005" w:rsidRDefault="00CD1D61" w:rsidP="00BE6005">
    <w:pPr>
      <w:pStyle w:val="Footer"/>
      <w:tabs>
        <w:tab w:val="clear" w:pos="4153"/>
        <w:tab w:val="clear" w:pos="8306"/>
        <w:tab w:val="center" w:pos="-567"/>
        <w:tab w:val="left" w:pos="0"/>
        <w:tab w:val="right" w:pos="9072"/>
      </w:tabs>
      <w:ind w:left="-567"/>
      <w:jc w:val="left"/>
      <w:rPr>
        <w:color w:val="000000"/>
      </w:rPr>
    </w:pPr>
    <w:r w:rsidRPr="002B3E26">
      <w:rPr>
        <w:rStyle w:val="PageNumber"/>
      </w:rPr>
      <w:fldChar w:fldCharType="begin"/>
    </w:r>
    <w:r w:rsidRPr="002B3E26">
      <w:rPr>
        <w:rStyle w:val="PageNumber"/>
      </w:rPr>
      <w:instrText xml:space="preserve"> PAGE   \* MERGEFORMAT </w:instrText>
    </w:r>
    <w:r w:rsidRPr="002B3E26">
      <w:rPr>
        <w:rStyle w:val="PageNumber"/>
      </w:rPr>
      <w:fldChar w:fldCharType="separate"/>
    </w:r>
    <w:r>
      <w:rPr>
        <w:rStyle w:val="PageNumber"/>
        <w:noProof/>
      </w:rPr>
      <w:t>2</w:t>
    </w:r>
    <w:r w:rsidRPr="002B3E26">
      <w:rPr>
        <w:rStyle w:val="PageNumber"/>
      </w:rPr>
      <w:fldChar w:fldCharType="end"/>
    </w:r>
    <w:r>
      <w:rPr>
        <w:rStyle w:val="PageNumber"/>
      </w:rPr>
      <w:tab/>
    </w:r>
    <w:r w:rsidRPr="00F5188A">
      <w:rPr>
        <w:color w:val="7F7F7F"/>
      </w:rPr>
      <w:t>&lt;Publication title [footer—double-click to insert]&gt;</w:t>
    </w:r>
  </w:p>
  <w:p w14:paraId="3DED6A7B" w14:textId="77777777" w:rsidR="00CD1D61" w:rsidRDefault="00CD1D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2511" w14:textId="77777777" w:rsidR="00CD1D61" w:rsidRDefault="00CD1D61" w:rsidP="00CD1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BF2E6" w14:textId="77777777" w:rsidR="009C6D51" w:rsidRDefault="009C6D51">
      <w:r>
        <w:separator/>
      </w:r>
    </w:p>
  </w:footnote>
  <w:footnote w:type="continuationSeparator" w:id="0">
    <w:p w14:paraId="44931EDA" w14:textId="77777777" w:rsidR="009C6D51" w:rsidRDefault="009C6D51">
      <w:r>
        <w:continuationSeparator/>
      </w:r>
    </w:p>
    <w:p w14:paraId="5B137A78" w14:textId="77777777" w:rsidR="009C6D51" w:rsidRDefault="009C6D51"/>
    <w:p w14:paraId="154E2F4E" w14:textId="77777777" w:rsidR="009C6D51" w:rsidRDefault="009C6D51"/>
    <w:p w14:paraId="7379716A" w14:textId="77777777" w:rsidR="009C6D51" w:rsidRDefault="009C6D51"/>
    <w:p w14:paraId="1500E48C" w14:textId="77777777" w:rsidR="009C6D51" w:rsidRDefault="009C6D51"/>
    <w:p w14:paraId="5E4C9E35" w14:textId="77777777" w:rsidR="009C6D51" w:rsidRDefault="009C6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701B" w14:textId="77777777" w:rsidR="00CD1D61" w:rsidRDefault="00CD1D61" w:rsidP="00CD1D61">
    <w:pPr>
      <w:pStyle w:val="Header"/>
      <w:tabs>
        <w:tab w:val="clear" w:pos="4153"/>
        <w:tab w:val="clear" w:pos="8306"/>
        <w:tab w:val="center" w:pos="4535"/>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5F9612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045EBB"/>
    <w:multiLevelType w:val="hybridMultilevel"/>
    <w:tmpl w:val="022A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B05D64"/>
    <w:multiLevelType w:val="multilevel"/>
    <w:tmpl w:val="65669AAE"/>
    <w:lvl w:ilvl="0">
      <w:start w:val="1"/>
      <w:numFmt w:val="bullet"/>
      <w:lvlText w:val=""/>
      <w:lvlJc w:val="left"/>
      <w:pPr>
        <w:tabs>
          <w:tab w:val="num" w:pos="975"/>
        </w:tabs>
        <w:ind w:left="975" w:hanging="57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E14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FF5133"/>
    <w:multiLevelType w:val="hybridMultilevel"/>
    <w:tmpl w:val="BE184520"/>
    <w:lvl w:ilvl="0" w:tplc="6CE045BE">
      <w:start w:val="1"/>
      <w:numFmt w:val="bullet"/>
      <w:lvlText w:val=""/>
      <w:lvlJc w:val="left"/>
      <w:pPr>
        <w:ind w:left="360" w:hanging="360"/>
      </w:pPr>
      <w:rPr>
        <w:rFonts w:ascii="Symbol" w:hAnsi="Symbol" w:hint="default"/>
      </w:rPr>
    </w:lvl>
    <w:lvl w:ilvl="1" w:tplc="2124DA8C">
      <w:start w:val="1"/>
      <w:numFmt w:val="bullet"/>
      <w:lvlText w:val="­"/>
      <w:lvlJc w:val="left"/>
      <w:pPr>
        <w:ind w:left="1080" w:hanging="360"/>
      </w:pPr>
      <w:rPr>
        <w:rFonts w:ascii="Courier New" w:hAnsi="Courier New" w:hint="default"/>
      </w:rPr>
    </w:lvl>
    <w:lvl w:ilvl="2" w:tplc="565A2940">
      <w:start w:val="1"/>
      <w:numFmt w:val="decimal"/>
      <w:lvlText w:val="%3."/>
      <w:lvlJc w:val="left"/>
      <w:pPr>
        <w:tabs>
          <w:tab w:val="num" w:pos="2160"/>
        </w:tabs>
        <w:ind w:left="2160" w:hanging="360"/>
      </w:pPr>
    </w:lvl>
    <w:lvl w:ilvl="3" w:tplc="FA484B48">
      <w:start w:val="1"/>
      <w:numFmt w:val="decimal"/>
      <w:lvlText w:val="%4."/>
      <w:lvlJc w:val="left"/>
      <w:pPr>
        <w:tabs>
          <w:tab w:val="num" w:pos="2880"/>
        </w:tabs>
        <w:ind w:left="2880" w:hanging="360"/>
      </w:pPr>
    </w:lvl>
    <w:lvl w:ilvl="4" w:tplc="5E0EBA58">
      <w:start w:val="1"/>
      <w:numFmt w:val="decimal"/>
      <w:lvlText w:val="%5."/>
      <w:lvlJc w:val="left"/>
      <w:pPr>
        <w:tabs>
          <w:tab w:val="num" w:pos="3600"/>
        </w:tabs>
        <w:ind w:left="3600" w:hanging="360"/>
      </w:pPr>
    </w:lvl>
    <w:lvl w:ilvl="5" w:tplc="7938F4DC">
      <w:start w:val="1"/>
      <w:numFmt w:val="decimal"/>
      <w:lvlText w:val="%6."/>
      <w:lvlJc w:val="left"/>
      <w:pPr>
        <w:tabs>
          <w:tab w:val="num" w:pos="4320"/>
        </w:tabs>
        <w:ind w:left="4320" w:hanging="360"/>
      </w:pPr>
    </w:lvl>
    <w:lvl w:ilvl="6" w:tplc="2A788EC6">
      <w:start w:val="1"/>
      <w:numFmt w:val="decimal"/>
      <w:lvlText w:val="%7."/>
      <w:lvlJc w:val="left"/>
      <w:pPr>
        <w:tabs>
          <w:tab w:val="num" w:pos="5040"/>
        </w:tabs>
        <w:ind w:left="5040" w:hanging="360"/>
      </w:pPr>
    </w:lvl>
    <w:lvl w:ilvl="7" w:tplc="C596938E">
      <w:start w:val="1"/>
      <w:numFmt w:val="decimal"/>
      <w:lvlText w:val="%8."/>
      <w:lvlJc w:val="left"/>
      <w:pPr>
        <w:tabs>
          <w:tab w:val="num" w:pos="5760"/>
        </w:tabs>
        <w:ind w:left="5760" w:hanging="360"/>
      </w:pPr>
    </w:lvl>
    <w:lvl w:ilvl="8" w:tplc="2CB0D16C">
      <w:start w:val="1"/>
      <w:numFmt w:val="decimal"/>
      <w:lvlText w:val="%9."/>
      <w:lvlJc w:val="left"/>
      <w:pPr>
        <w:tabs>
          <w:tab w:val="num" w:pos="6480"/>
        </w:tabs>
        <w:ind w:left="6480" w:hanging="360"/>
      </w:pPr>
    </w:lvl>
  </w:abstractNum>
  <w:abstractNum w:abstractNumId="18" w15:restartNumberingAfterBreak="0">
    <w:nsid w:val="25C40D7B"/>
    <w:multiLevelType w:val="multilevel"/>
    <w:tmpl w:val="B6E614EA"/>
    <w:lvl w:ilvl="0">
      <w:start w:val="1"/>
      <w:numFmt w:val="bullet"/>
      <w:lvlText w:val="-"/>
      <w:lvlJc w:val="left"/>
      <w:pPr>
        <w:tabs>
          <w:tab w:val="num" w:pos="720"/>
        </w:tabs>
        <w:ind w:left="720" w:hanging="360"/>
      </w:pPr>
      <w:rPr>
        <w:rFonts w:ascii="Courier New" w:hAnsi="Courier New" w:hint="default"/>
        <w:color w:val="472A2B"/>
        <w:sz w:val="16"/>
      </w:rPr>
    </w:lvl>
    <w:lvl w:ilvl="1">
      <w:start w:val="1"/>
      <w:numFmt w:val="bullet"/>
      <w:lvlText w:val="−"/>
      <w:lvlJc w:val="left"/>
      <w:pPr>
        <w:tabs>
          <w:tab w:val="num" w:pos="1440"/>
        </w:tabs>
        <w:ind w:left="1440" w:hanging="360"/>
      </w:pPr>
      <w:rPr>
        <w:rFonts w:ascii="Times New Roman" w:hAnsi="Times New Roman" w:hint="default"/>
        <w:color w:val="00008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B52E14"/>
    <w:multiLevelType w:val="hybridMultilevel"/>
    <w:tmpl w:val="BC50D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C747F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22" w15:restartNumberingAfterBreak="0">
    <w:nsid w:val="3EEE64F6"/>
    <w:multiLevelType w:val="hybridMultilevel"/>
    <w:tmpl w:val="E3C4755A"/>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6D00F300">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8072A3"/>
    <w:multiLevelType w:val="hybridMultilevel"/>
    <w:tmpl w:val="41D04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557EA0"/>
    <w:multiLevelType w:val="multilevel"/>
    <w:tmpl w:val="C0ACF6E4"/>
    <w:lvl w:ilvl="0">
      <w:start w:val="1"/>
      <w:numFmt w:val="bullet"/>
      <w:lvlText w:val=""/>
      <w:lvlJc w:val="left"/>
      <w:pPr>
        <w:tabs>
          <w:tab w:val="num" w:pos="360"/>
        </w:tabs>
        <w:ind w:left="360" w:hanging="360"/>
      </w:pPr>
      <w:rPr>
        <w:rFonts w:ascii="Symbol" w:hAnsi="Symbol" w:hint="default"/>
        <w:color w:val="30243C"/>
        <w:sz w:val="16"/>
      </w:rPr>
    </w:lvl>
    <w:lvl w:ilvl="1">
      <w:start w:val="1"/>
      <w:numFmt w:val="bullet"/>
      <w:lvlText w:val="−"/>
      <w:lvlJc w:val="left"/>
      <w:pPr>
        <w:tabs>
          <w:tab w:val="num" w:pos="1080"/>
        </w:tabs>
        <w:ind w:left="1080" w:hanging="360"/>
      </w:pPr>
      <w:rPr>
        <w:rFonts w:ascii="Times New Roman" w:hAnsi="Times New Roman" w:cs="Times New Roman" w:hint="default"/>
        <w:color w:val="000080"/>
        <w:sz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951B8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E88541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9082423"/>
    <w:multiLevelType w:val="multilevel"/>
    <w:tmpl w:val="05922C1E"/>
    <w:lvl w:ilvl="0">
      <w:start w:val="1"/>
      <w:numFmt w:val="bullet"/>
      <w:lvlText w:val="-"/>
      <w:lvlJc w:val="left"/>
      <w:pPr>
        <w:tabs>
          <w:tab w:val="num" w:pos="720"/>
        </w:tabs>
        <w:ind w:left="720" w:hanging="360"/>
      </w:pPr>
      <w:rPr>
        <w:rFonts w:ascii="Courier New" w:hAnsi="Courier New" w:hint="default"/>
        <w:color w:val="472A2B"/>
        <w:sz w:val="16"/>
      </w:rPr>
    </w:lvl>
    <w:lvl w:ilvl="1">
      <w:start w:val="1"/>
      <w:numFmt w:val="bullet"/>
      <w:lvlText w:val="−"/>
      <w:lvlJc w:val="left"/>
      <w:pPr>
        <w:tabs>
          <w:tab w:val="num" w:pos="1440"/>
        </w:tabs>
        <w:ind w:left="1440" w:hanging="360"/>
      </w:pPr>
      <w:rPr>
        <w:rFonts w:ascii="Times New Roman" w:hAnsi="Times New Roman" w:hint="default"/>
        <w:color w:val="00008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6A5CA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D7318A7"/>
    <w:multiLevelType w:val="hybridMultilevel"/>
    <w:tmpl w:val="8B68B71A"/>
    <w:lvl w:ilvl="0" w:tplc="F146C12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5811B5"/>
    <w:multiLevelType w:val="hybridMultilevel"/>
    <w:tmpl w:val="DDFA5E9C"/>
    <w:lvl w:ilvl="0" w:tplc="EBB2C5BC">
      <w:start w:val="1"/>
      <w:numFmt w:val="bullet"/>
      <w:lvlText w:val=""/>
      <w:lvlJc w:val="left"/>
      <w:pPr>
        <w:ind w:left="829" w:hanging="377"/>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2" w15:restartNumberingAfterBreak="0">
    <w:nsid w:val="7BDA2FC0"/>
    <w:multiLevelType w:val="hybridMultilevel"/>
    <w:tmpl w:val="23DCF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FA1420"/>
    <w:multiLevelType w:val="hybridMultilevel"/>
    <w:tmpl w:val="714CC97A"/>
    <w:lvl w:ilvl="0" w:tplc="A0B6F390">
      <w:start w:val="1"/>
      <w:numFmt w:val="lowerLetter"/>
      <w:lvlText w:val="(%1)"/>
      <w:lvlJc w:val="left"/>
      <w:pPr>
        <w:tabs>
          <w:tab w:val="num" w:pos="397"/>
        </w:tabs>
        <w:ind w:left="397" w:hanging="397"/>
      </w:pPr>
      <w:rPr>
        <w:rFonts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77811144">
    <w:abstractNumId w:val="33"/>
  </w:num>
  <w:num w:numId="2" w16cid:durableId="1578442209">
    <w:abstractNumId w:val="30"/>
  </w:num>
  <w:num w:numId="3" w16cid:durableId="1998612575">
    <w:abstractNumId w:val="33"/>
  </w:num>
  <w:num w:numId="4" w16cid:durableId="1200048005">
    <w:abstractNumId w:val="30"/>
  </w:num>
  <w:num w:numId="5" w16cid:durableId="2043437798">
    <w:abstractNumId w:val="11"/>
  </w:num>
  <w:num w:numId="6" w16cid:durableId="1850683179">
    <w:abstractNumId w:val="27"/>
  </w:num>
  <w:num w:numId="7" w16cid:durableId="1276863516">
    <w:abstractNumId w:val="10"/>
  </w:num>
  <w:num w:numId="8" w16cid:durableId="1471248972">
    <w:abstractNumId w:val="9"/>
  </w:num>
  <w:num w:numId="9" w16cid:durableId="362289272">
    <w:abstractNumId w:val="7"/>
  </w:num>
  <w:num w:numId="10" w16cid:durableId="1975791626">
    <w:abstractNumId w:val="6"/>
  </w:num>
  <w:num w:numId="11" w16cid:durableId="513806810">
    <w:abstractNumId w:val="5"/>
  </w:num>
  <w:num w:numId="12" w16cid:durableId="517427476">
    <w:abstractNumId w:val="4"/>
  </w:num>
  <w:num w:numId="13" w16cid:durableId="720447057">
    <w:abstractNumId w:val="8"/>
  </w:num>
  <w:num w:numId="14" w16cid:durableId="736242136">
    <w:abstractNumId w:val="3"/>
  </w:num>
  <w:num w:numId="15" w16cid:durableId="2109889421">
    <w:abstractNumId w:val="2"/>
  </w:num>
  <w:num w:numId="16" w16cid:durableId="63257546">
    <w:abstractNumId w:val="1"/>
  </w:num>
  <w:num w:numId="17" w16cid:durableId="1882814531">
    <w:abstractNumId w:val="0"/>
  </w:num>
  <w:num w:numId="18" w16cid:durableId="1870219835">
    <w:abstractNumId w:val="20"/>
  </w:num>
  <w:num w:numId="19" w16cid:durableId="2065832100">
    <w:abstractNumId w:val="25"/>
  </w:num>
  <w:num w:numId="20" w16cid:durableId="330451991">
    <w:abstractNumId w:val="12"/>
  </w:num>
  <w:num w:numId="21" w16cid:durableId="1327368358">
    <w:abstractNumId w:val="15"/>
  </w:num>
  <w:num w:numId="22" w16cid:durableId="1935938383">
    <w:abstractNumId w:val="16"/>
  </w:num>
  <w:num w:numId="23" w16cid:durableId="2145805616">
    <w:abstractNumId w:val="26"/>
  </w:num>
  <w:num w:numId="24" w16cid:durableId="631636660">
    <w:abstractNumId w:val="29"/>
  </w:num>
  <w:num w:numId="25" w16cid:durableId="1733968863">
    <w:abstractNumId w:val="21"/>
  </w:num>
  <w:num w:numId="26" w16cid:durableId="2050831990">
    <w:abstractNumId w:val="14"/>
  </w:num>
  <w:num w:numId="27" w16cid:durableId="2131361818">
    <w:abstractNumId w:val="22"/>
  </w:num>
  <w:num w:numId="28" w16cid:durableId="142430921">
    <w:abstractNumId w:val="23"/>
  </w:num>
  <w:num w:numId="29" w16cid:durableId="590821347">
    <w:abstractNumId w:val="31"/>
  </w:num>
  <w:num w:numId="30" w16cid:durableId="1313294288">
    <w:abstractNumId w:val="13"/>
  </w:num>
  <w:num w:numId="31" w16cid:durableId="717511598">
    <w:abstractNumId w:val="32"/>
  </w:num>
  <w:num w:numId="32" w16cid:durableId="1520124479">
    <w:abstractNumId w:val="24"/>
  </w:num>
  <w:num w:numId="33" w16cid:durableId="927614312">
    <w:abstractNumId w:val="18"/>
  </w:num>
  <w:num w:numId="34" w16cid:durableId="1771772542">
    <w:abstractNumId w:val="28"/>
  </w:num>
  <w:num w:numId="35" w16cid:durableId="86928230">
    <w:abstractNumId w:val="17"/>
  </w:num>
  <w:num w:numId="36" w16cid:durableId="1323362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Moves/>
  <w:styleLockTheme/>
  <w:styleLockQFSet/>
  <w:defaultTabStop w:val="709"/>
  <w:characterSpacingControl w:val="doNotCompress"/>
  <w:hdrShapeDefaults>
    <o:shapedefaults v:ext="edit" spidmax="2050"/>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MO_ReportControlsVisible" w:val="Empty"/>
    <w:docVar w:name="_AMO_UniqueIdentifier" w:val="45ea7b23-978e-4371-b1f3-b0e3a5645ff2"/>
    <w:docVar w:name="EN.InstantFormat" w:val="&lt;ENInstantFormat&gt;&lt;Enabled&gt;1&lt;/Enabled&gt;&lt;ScanUnformatted&gt;1&lt;/ScanUnformatted&gt;&lt;ScanChanges&gt;1&lt;/ScanChanges&gt;&lt;/ENInstantFormat&gt;"/>
    <w:docVar w:name="EN.Layout" w:val="&lt;ENLayout&gt;&lt;Style&gt;AIHW&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w9zf0sma9dweewvf45evsb2w9dv99wd9d5&quot;&gt;AIHW&lt;record-ids&gt;&lt;item&gt;10226&lt;/item&gt;&lt;/record-ids&gt;&lt;/item&gt;&lt;/Libraries&gt;"/>
  </w:docVars>
  <w:rsids>
    <w:rsidRoot w:val="001E4776"/>
    <w:rsid w:val="00003348"/>
    <w:rsid w:val="00017E87"/>
    <w:rsid w:val="00024416"/>
    <w:rsid w:val="00026EE7"/>
    <w:rsid w:val="0003145D"/>
    <w:rsid w:val="000348FD"/>
    <w:rsid w:val="00036C88"/>
    <w:rsid w:val="0004486C"/>
    <w:rsid w:val="000556D8"/>
    <w:rsid w:val="0006497C"/>
    <w:rsid w:val="0007172A"/>
    <w:rsid w:val="000725C2"/>
    <w:rsid w:val="00076860"/>
    <w:rsid w:val="0007737D"/>
    <w:rsid w:val="00090C7D"/>
    <w:rsid w:val="0009309E"/>
    <w:rsid w:val="00097159"/>
    <w:rsid w:val="000A6F9D"/>
    <w:rsid w:val="000B2821"/>
    <w:rsid w:val="000B37E4"/>
    <w:rsid w:val="000C5ACA"/>
    <w:rsid w:val="000C60AC"/>
    <w:rsid w:val="000D76F8"/>
    <w:rsid w:val="000E3F6C"/>
    <w:rsid w:val="000E3F97"/>
    <w:rsid w:val="000F16DB"/>
    <w:rsid w:val="000F4B5D"/>
    <w:rsid w:val="00142B75"/>
    <w:rsid w:val="00161D26"/>
    <w:rsid w:val="001928A4"/>
    <w:rsid w:val="001B0A9F"/>
    <w:rsid w:val="001C1AD8"/>
    <w:rsid w:val="001D2462"/>
    <w:rsid w:val="001E3FA3"/>
    <w:rsid w:val="001E4776"/>
    <w:rsid w:val="001F5F41"/>
    <w:rsid w:val="00212B9B"/>
    <w:rsid w:val="00223307"/>
    <w:rsid w:val="00225BC7"/>
    <w:rsid w:val="00232418"/>
    <w:rsid w:val="002613B9"/>
    <w:rsid w:val="00261BCF"/>
    <w:rsid w:val="00263946"/>
    <w:rsid w:val="00265D85"/>
    <w:rsid w:val="00267E86"/>
    <w:rsid w:val="00275F22"/>
    <w:rsid w:val="00276367"/>
    <w:rsid w:val="00277622"/>
    <w:rsid w:val="00290F75"/>
    <w:rsid w:val="002A0668"/>
    <w:rsid w:val="002A621F"/>
    <w:rsid w:val="002B3E26"/>
    <w:rsid w:val="002C3083"/>
    <w:rsid w:val="002F37F6"/>
    <w:rsid w:val="00314C48"/>
    <w:rsid w:val="003164BF"/>
    <w:rsid w:val="003342B3"/>
    <w:rsid w:val="0033783A"/>
    <w:rsid w:val="00343BF0"/>
    <w:rsid w:val="00350F47"/>
    <w:rsid w:val="003610FF"/>
    <w:rsid w:val="003621B4"/>
    <w:rsid w:val="003723A7"/>
    <w:rsid w:val="00376170"/>
    <w:rsid w:val="0038101F"/>
    <w:rsid w:val="003B637B"/>
    <w:rsid w:val="004018E8"/>
    <w:rsid w:val="00437154"/>
    <w:rsid w:val="00437CDF"/>
    <w:rsid w:val="00466888"/>
    <w:rsid w:val="004734FE"/>
    <w:rsid w:val="00481A2F"/>
    <w:rsid w:val="0048321D"/>
    <w:rsid w:val="00485B51"/>
    <w:rsid w:val="004920CB"/>
    <w:rsid w:val="00493C5F"/>
    <w:rsid w:val="00494196"/>
    <w:rsid w:val="00495E88"/>
    <w:rsid w:val="004A40F4"/>
    <w:rsid w:val="004B25AE"/>
    <w:rsid w:val="004C444B"/>
    <w:rsid w:val="004C5779"/>
    <w:rsid w:val="004D727D"/>
    <w:rsid w:val="004E250D"/>
    <w:rsid w:val="0050357C"/>
    <w:rsid w:val="00511620"/>
    <w:rsid w:val="005344C6"/>
    <w:rsid w:val="005505CD"/>
    <w:rsid w:val="00553DA5"/>
    <w:rsid w:val="005750D4"/>
    <w:rsid w:val="00581701"/>
    <w:rsid w:val="00581F7D"/>
    <w:rsid w:val="0058565E"/>
    <w:rsid w:val="00591C25"/>
    <w:rsid w:val="005924B2"/>
    <w:rsid w:val="00596D3B"/>
    <w:rsid w:val="005A73FF"/>
    <w:rsid w:val="005D5A2D"/>
    <w:rsid w:val="005E3B19"/>
    <w:rsid w:val="005E5A15"/>
    <w:rsid w:val="006376DE"/>
    <w:rsid w:val="00660014"/>
    <w:rsid w:val="006678CF"/>
    <w:rsid w:val="00677E6A"/>
    <w:rsid w:val="00695D95"/>
    <w:rsid w:val="006A53E6"/>
    <w:rsid w:val="006B4284"/>
    <w:rsid w:val="006B7411"/>
    <w:rsid w:val="006D0C92"/>
    <w:rsid w:val="006D4A12"/>
    <w:rsid w:val="006E4B28"/>
    <w:rsid w:val="006E6760"/>
    <w:rsid w:val="006F67B7"/>
    <w:rsid w:val="0070420B"/>
    <w:rsid w:val="007245C2"/>
    <w:rsid w:val="00742038"/>
    <w:rsid w:val="007429F2"/>
    <w:rsid w:val="00782498"/>
    <w:rsid w:val="007B7B80"/>
    <w:rsid w:val="007C08B5"/>
    <w:rsid w:val="007C26A4"/>
    <w:rsid w:val="007C75A1"/>
    <w:rsid w:val="007E627E"/>
    <w:rsid w:val="00840733"/>
    <w:rsid w:val="008439B1"/>
    <w:rsid w:val="00855EF5"/>
    <w:rsid w:val="008623DD"/>
    <w:rsid w:val="0086346C"/>
    <w:rsid w:val="008640EF"/>
    <w:rsid w:val="0088194D"/>
    <w:rsid w:val="00882DBC"/>
    <w:rsid w:val="0088346D"/>
    <w:rsid w:val="00884885"/>
    <w:rsid w:val="00886170"/>
    <w:rsid w:val="00887365"/>
    <w:rsid w:val="008E579B"/>
    <w:rsid w:val="008F7A00"/>
    <w:rsid w:val="00900037"/>
    <w:rsid w:val="00902A3C"/>
    <w:rsid w:val="00903DEC"/>
    <w:rsid w:val="0091651A"/>
    <w:rsid w:val="0092010A"/>
    <w:rsid w:val="00953F15"/>
    <w:rsid w:val="00957421"/>
    <w:rsid w:val="00962872"/>
    <w:rsid w:val="00963773"/>
    <w:rsid w:val="0096503C"/>
    <w:rsid w:val="009652FF"/>
    <w:rsid w:val="00981EDC"/>
    <w:rsid w:val="0098660E"/>
    <w:rsid w:val="009921E5"/>
    <w:rsid w:val="00993976"/>
    <w:rsid w:val="009A17BE"/>
    <w:rsid w:val="009B2765"/>
    <w:rsid w:val="009C6D51"/>
    <w:rsid w:val="009E13B7"/>
    <w:rsid w:val="009E38EF"/>
    <w:rsid w:val="00A13322"/>
    <w:rsid w:val="00A22385"/>
    <w:rsid w:val="00A30A53"/>
    <w:rsid w:val="00A462E9"/>
    <w:rsid w:val="00A47329"/>
    <w:rsid w:val="00A534C6"/>
    <w:rsid w:val="00A539DD"/>
    <w:rsid w:val="00A562C0"/>
    <w:rsid w:val="00A66CCF"/>
    <w:rsid w:val="00A9206D"/>
    <w:rsid w:val="00A94F6E"/>
    <w:rsid w:val="00AA00B1"/>
    <w:rsid w:val="00AC65F1"/>
    <w:rsid w:val="00AD044E"/>
    <w:rsid w:val="00AD7CD9"/>
    <w:rsid w:val="00B07417"/>
    <w:rsid w:val="00B13FA8"/>
    <w:rsid w:val="00B25354"/>
    <w:rsid w:val="00B2640B"/>
    <w:rsid w:val="00B321FB"/>
    <w:rsid w:val="00B3253A"/>
    <w:rsid w:val="00B61BE0"/>
    <w:rsid w:val="00B63AF9"/>
    <w:rsid w:val="00B748EC"/>
    <w:rsid w:val="00B74E30"/>
    <w:rsid w:val="00B82043"/>
    <w:rsid w:val="00B85B20"/>
    <w:rsid w:val="00BB0FA7"/>
    <w:rsid w:val="00BC3DD5"/>
    <w:rsid w:val="00BD0686"/>
    <w:rsid w:val="00BE19E3"/>
    <w:rsid w:val="00BE6005"/>
    <w:rsid w:val="00BF6CF5"/>
    <w:rsid w:val="00C00A5C"/>
    <w:rsid w:val="00C032DB"/>
    <w:rsid w:val="00C15A7A"/>
    <w:rsid w:val="00C20604"/>
    <w:rsid w:val="00C42A4F"/>
    <w:rsid w:val="00C46B49"/>
    <w:rsid w:val="00C63B3B"/>
    <w:rsid w:val="00C911D7"/>
    <w:rsid w:val="00CD1D61"/>
    <w:rsid w:val="00CD777B"/>
    <w:rsid w:val="00CE0143"/>
    <w:rsid w:val="00CE4E3E"/>
    <w:rsid w:val="00CE566B"/>
    <w:rsid w:val="00CE7641"/>
    <w:rsid w:val="00CF293D"/>
    <w:rsid w:val="00CF55E3"/>
    <w:rsid w:val="00CF7A64"/>
    <w:rsid w:val="00D01233"/>
    <w:rsid w:val="00D23BEE"/>
    <w:rsid w:val="00D27CEC"/>
    <w:rsid w:val="00D30F75"/>
    <w:rsid w:val="00D41476"/>
    <w:rsid w:val="00D416FD"/>
    <w:rsid w:val="00D71F50"/>
    <w:rsid w:val="00D72783"/>
    <w:rsid w:val="00DA43C9"/>
    <w:rsid w:val="00DA7E6E"/>
    <w:rsid w:val="00DB645A"/>
    <w:rsid w:val="00DC78FB"/>
    <w:rsid w:val="00DE5AE9"/>
    <w:rsid w:val="00DF59C8"/>
    <w:rsid w:val="00E03F2F"/>
    <w:rsid w:val="00E044DF"/>
    <w:rsid w:val="00E06D9C"/>
    <w:rsid w:val="00E15A87"/>
    <w:rsid w:val="00E25101"/>
    <w:rsid w:val="00E32587"/>
    <w:rsid w:val="00E3784F"/>
    <w:rsid w:val="00E44983"/>
    <w:rsid w:val="00E50969"/>
    <w:rsid w:val="00E52E01"/>
    <w:rsid w:val="00E5610E"/>
    <w:rsid w:val="00E909A5"/>
    <w:rsid w:val="00EA2676"/>
    <w:rsid w:val="00EA5C10"/>
    <w:rsid w:val="00EA6343"/>
    <w:rsid w:val="00EA7BC0"/>
    <w:rsid w:val="00EB453A"/>
    <w:rsid w:val="00F269A8"/>
    <w:rsid w:val="00F5188A"/>
    <w:rsid w:val="00F5619A"/>
    <w:rsid w:val="00F72FB9"/>
    <w:rsid w:val="00F76972"/>
    <w:rsid w:val="00F84941"/>
    <w:rsid w:val="00F85F48"/>
    <w:rsid w:val="00FA3E15"/>
    <w:rsid w:val="00FC4ABC"/>
    <w:rsid w:val="00FC5F5C"/>
    <w:rsid w:val="00FD04ED"/>
    <w:rsid w:val="00FD3416"/>
    <w:rsid w:val="00FE042C"/>
    <w:rsid w:val="00FE25A6"/>
    <w:rsid w:val="00FE5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9D5D3"/>
  <w15:chartTrackingRefBased/>
  <w15:docId w15:val="{F3EA92DE-5E9C-4556-B84B-540474E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lsdException w:name="heading 8" w:locked="1" w:qFormat="1"/>
    <w:lsdException w:name="heading 9" w:lock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uiPriority="39"/>
    <w:lsdException w:name="toc 2" w:uiPriority="39"/>
    <w:lsdException w:name="toc 4" w:semiHidden="1"/>
    <w:lsdException w:name="toc 5" w:semiHidden="1"/>
    <w:lsdException w:name="toc 6" w:semiHidden="1"/>
    <w:lsdException w:name="toc 7" w:semiHidden="1"/>
    <w:lsdException w:name="toc 8" w:semiHidden="1"/>
    <w:lsdException w:name="toc 9" w:semiHidden="1"/>
    <w:lsdException w:name="header" w:uiPriority="99"/>
    <w:lsdException w:name="footer" w:uiPriority="99"/>
    <w:lsdException w:name="index heading" w:semiHidden="1"/>
    <w:lsdException w:name="caption" w:semiHidden="1" w:qFormat="1"/>
    <w:lsdException w:name="table of figures" w:uiPriority="99"/>
    <w:lsdException w:name="endnote reference" w:semiHidden="1" w:unhideWhenUsed="1"/>
    <w:lsdException w:name="endnote text" w:semiHidden="1" w:unhideWhenUsed="1"/>
    <w:lsdException w:name="table of authorities" w:semiHidden="1" w:uiPriority="13" w:unhideWhenUsed="1"/>
    <w:lsdException w:name="macro" w:semiHidden="1"/>
    <w:lsdException w:name="toa heading" w:semiHidden="1"/>
    <w:lsdException w:name="Title" w:semiHidden="1" w:qFormat="1"/>
    <w:lsdException w:name="Subtitle" w:semiHidden="1" w:qFormat="1"/>
    <w:lsdException w:name="Hyperlink" w:uiPriority="99"/>
    <w:lsdException w:name="Strong" w:semiHidden="1" w:qFormat="1"/>
    <w:lsdException w:name="Emphasis" w:semiHidden="1" w:qFormat="1"/>
    <w:lsdException w:name="Placeholder Text" w:semiHidden="1" w:uiPriority="99"/>
    <w:lsdException w:name="No Spacing" w:semiHidden="1" w:uiPriority="99"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776"/>
    <w:rPr>
      <w:rFonts w:ascii="Verdana" w:hAnsi="Verdana"/>
      <w:lang w:eastAsia="en-US"/>
    </w:rPr>
  </w:style>
  <w:style w:type="paragraph" w:styleId="Heading1">
    <w:name w:val="heading 1"/>
    <w:next w:val="Heading2"/>
    <w:link w:val="Heading1Char"/>
    <w:uiPriority w:val="1"/>
    <w:qFormat/>
    <w:rsid w:val="00265D85"/>
    <w:pPr>
      <w:keepNext/>
      <w:keepLines/>
      <w:pageBreakBefore/>
      <w:tabs>
        <w:tab w:val="left" w:pos="794"/>
        <w:tab w:val="left" w:pos="1191"/>
        <w:tab w:val="left" w:pos="2778"/>
      </w:tabs>
      <w:spacing w:before="60" w:after="360" w:line="480" w:lineRule="atLeast"/>
      <w:outlineLvl w:val="0"/>
    </w:pPr>
    <w:rPr>
      <w:rFonts w:ascii="Arial" w:hAnsi="Arial"/>
      <w:b/>
      <w:color w:val="000000"/>
      <w:sz w:val="44"/>
      <w:szCs w:val="22"/>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uiPriority w:val="1"/>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3621B4"/>
    <w:pPr>
      <w:spacing w:before="180" w:after="40" w:line="260" w:lineRule="atLeast"/>
      <w:outlineLvl w:val="4"/>
    </w:pPr>
    <w:rPr>
      <w:rFonts w:ascii="Book Antiqua" w:hAnsi="Book Antiqua"/>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FC5F5C"/>
  </w:style>
  <w:style w:type="paragraph" w:customStyle="1" w:styleId="Bullet1">
    <w:name w:val="Bullet 1"/>
    <w:basedOn w:val="AIHWbodytext"/>
    <w:uiPriority w:val="2"/>
    <w:qFormat/>
    <w:rsid w:val="00D30F75"/>
    <w:pPr>
      <w:numPr>
        <w:numId w:val="21"/>
      </w:numPr>
      <w:spacing w:before="40" w:after="80"/>
    </w:pPr>
  </w:style>
  <w:style w:type="paragraph" w:customStyle="1" w:styleId="Bullet2">
    <w:name w:val="Bullet 2"/>
    <w:basedOn w:val="Bullet1"/>
    <w:uiPriority w:val="2"/>
    <w:qFormat/>
    <w:rsid w:val="0033783A"/>
    <w:pPr>
      <w:numPr>
        <w:numId w:val="4"/>
      </w:numPr>
    </w:pPr>
  </w:style>
  <w:style w:type="character" w:styleId="PageNumber">
    <w:name w:val="page number"/>
    <w:uiPriority w:val="14"/>
    <w:unhideWhenUsed/>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before="120"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FigText">
    <w:name w:val="Table/Fig: Text"/>
    <w:basedOn w:val="AIHWbodytext"/>
    <w:link w:val="TableFigTextChar"/>
    <w:uiPriority w:val="6"/>
    <w:rsid w:val="0098660E"/>
    <w:pPr>
      <w:keepLines/>
      <w:tabs>
        <w:tab w:val="left" w:pos="198"/>
      </w:tabs>
      <w:spacing w:after="60" w:line="200" w:lineRule="atLeast"/>
    </w:pPr>
    <w:rPr>
      <w:rFonts w:ascii="Arial" w:hAnsi="Arial"/>
      <w:sz w:val="16"/>
    </w:rPr>
  </w:style>
  <w:style w:type="table" w:styleId="LightShading">
    <w:name w:val="Light Shading"/>
    <w:basedOn w:val="TableNormal"/>
    <w:uiPriority w:val="60"/>
    <w:locked/>
    <w:rsid w:val="00F5188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15"/>
    <w:rsid w:val="00232418"/>
    <w:rPr>
      <w:sz w:val="22"/>
      <w:szCs w:val="22"/>
    </w:rPr>
  </w:style>
  <w:style w:type="paragraph" w:styleId="EndnoteText">
    <w:name w:val="endnote text"/>
    <w:basedOn w:val="Normal"/>
    <w:link w:val="EndnoteTextChar"/>
    <w:uiPriority w:val="12"/>
    <w:semiHidden/>
    <w:unhideWhenUsed/>
    <w:rsid w:val="00F5188A"/>
  </w:style>
  <w:style w:type="character" w:customStyle="1" w:styleId="EndnoteTextChar">
    <w:name w:val="Endnote Text Char"/>
    <w:link w:val="EndnoteText"/>
    <w:uiPriority w:val="12"/>
    <w:semiHidden/>
    <w:rsid w:val="00CD1D61"/>
  </w:style>
  <w:style w:type="character" w:styleId="EndnoteReference">
    <w:name w:val="endnote reference"/>
    <w:uiPriority w:val="12"/>
    <w:semiHidden/>
    <w:unhideWhenUsed/>
    <w:rsid w:val="00F5188A"/>
    <w:rPr>
      <w:vertAlign w:val="superscript"/>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25"/>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8E579B"/>
    <w:pPr>
      <w:keepNext/>
      <w:keepLines/>
      <w:tabs>
        <w:tab w:val="clear" w:pos="397"/>
      </w:tabs>
      <w:spacing w:before="120" w:after="60"/>
    </w:pPr>
    <w:rPr>
      <w:rFonts w:ascii="Arial" w:hAnsi="Arial"/>
      <w:b/>
      <w:sz w:val="22"/>
    </w:rPr>
  </w:style>
  <w:style w:type="paragraph" w:customStyle="1" w:styleId="FigureCaption">
    <w:name w:val="Figure: Caption"/>
    <w:basedOn w:val="TableCaption"/>
    <w:next w:val="AIHWbodytext"/>
    <w:uiPriority w:val="5"/>
    <w:rsid w:val="00B2640B"/>
    <w:pPr>
      <w:spacing w:before="120"/>
    </w:pPr>
  </w:style>
  <w:style w:type="paragraph" w:customStyle="1" w:styleId="FigureSourcefootnotes">
    <w:name w:val="Figure: Source &amp; footnotes"/>
    <w:basedOn w:val="TableSourcefootnotes"/>
    <w:next w:val="FigureCaption"/>
    <w:uiPriority w:val="5"/>
    <w:rsid w:val="003164BF"/>
  </w:style>
  <w:style w:type="character" w:styleId="FootnoteReference">
    <w:name w:val="footnote reference"/>
    <w:uiPriority w:val="21"/>
    <w:unhideWhenUsed/>
    <w:rsid w:val="004734FE"/>
    <w:rPr>
      <w:dstrike w:val="0"/>
      <w:vertAlign w:val="superscript"/>
    </w:rPr>
  </w:style>
  <w:style w:type="paragraph" w:styleId="FootnoteText">
    <w:name w:val="footnote text"/>
    <w:basedOn w:val="AIHWbodytext"/>
    <w:uiPriority w:val="21"/>
    <w:unhideWhenUsed/>
    <w:rsid w:val="004734FE"/>
    <w:pPr>
      <w:spacing w:after="20" w:line="220" w:lineRule="atLeast"/>
      <w:ind w:left="397" w:hanging="397"/>
    </w:pPr>
    <w:rPr>
      <w:sz w:val="18"/>
    </w:rPr>
  </w:style>
  <w:style w:type="paragraph" w:customStyle="1" w:styleId="IndentedQuotes">
    <w:name w:val="Indented: Quotes"/>
    <w:aliases w:val="etc."/>
    <w:basedOn w:val="AIHWbodytext"/>
    <w:next w:val="AIHWbodytext"/>
    <w:uiPriority w:val="4"/>
    <w:qFormat/>
    <w:rsid w:val="004734FE"/>
    <w:pPr>
      <w:spacing w:before="40"/>
      <w:ind w:left="397"/>
    </w:pPr>
  </w:style>
  <w:style w:type="paragraph" w:customStyle="1" w:styleId="TableFigSubtotal">
    <w:name w:val="Table/Fig: Subtotal"/>
    <w:basedOn w:val="TableFigText"/>
    <w:next w:val="TableFigText"/>
    <w:uiPriority w:val="6"/>
    <w:rsid w:val="004734FE"/>
    <w:rPr>
      <w:i/>
    </w:rPr>
  </w:style>
  <w:style w:type="paragraph" w:customStyle="1" w:styleId="TableCaption">
    <w:name w:val="Table: Caption"/>
    <w:basedOn w:val="AIHWbodytext"/>
    <w:next w:val="TableFigHeadingtotal"/>
    <w:uiPriority w:val="5"/>
    <w:rsid w:val="00BE6005"/>
    <w:pPr>
      <w:keepNext/>
      <w:keepLines/>
      <w:spacing w:before="240" w:line="240" w:lineRule="atLeast"/>
    </w:pPr>
    <w:rPr>
      <w:b/>
    </w:rPr>
  </w:style>
  <w:style w:type="paragraph" w:styleId="TOC1">
    <w:name w:val="toc 1"/>
    <w:basedOn w:val="AIHWbodytext"/>
    <w:next w:val="TOC2"/>
    <w:uiPriority w:val="9"/>
    <w:unhideWhenUsed/>
    <w:rsid w:val="004734FE"/>
    <w:pPr>
      <w:keepNext/>
      <w:keepLines/>
      <w:tabs>
        <w:tab w:val="left" w:pos="397"/>
        <w:tab w:val="right" w:leader="dot" w:pos="9072"/>
      </w:tabs>
      <w:spacing w:before="80"/>
      <w:ind w:left="397" w:hanging="397"/>
    </w:pPr>
    <w:rPr>
      <w:b/>
    </w:rPr>
  </w:style>
  <w:style w:type="paragraph" w:styleId="TOC2">
    <w:name w:val="toc 2"/>
    <w:basedOn w:val="TOC1"/>
    <w:uiPriority w:val="9"/>
    <w:unhideWhenUsed/>
    <w:rsid w:val="004734FE"/>
    <w:pPr>
      <w:tabs>
        <w:tab w:val="clear" w:pos="397"/>
        <w:tab w:val="left" w:pos="794"/>
      </w:tabs>
      <w:spacing w:before="40"/>
      <w:ind w:left="794"/>
    </w:pPr>
    <w:rPr>
      <w:b w:val="0"/>
    </w:rPr>
  </w:style>
  <w:style w:type="paragraph" w:styleId="TOC3">
    <w:name w:val="toc 3"/>
    <w:basedOn w:val="TOC2"/>
    <w:uiPriority w:val="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uiPriority w:val="5"/>
    <w:rsid w:val="003164BF"/>
    <w:pPr>
      <w:keepLines/>
      <w:tabs>
        <w:tab w:val="left" w:pos="397"/>
      </w:tabs>
      <w:spacing w:before="120" w:line="180" w:lineRule="atLeast"/>
    </w:pPr>
    <w:rPr>
      <w:rFonts w:ascii="Arial" w:hAnsi="Arial"/>
      <w:sz w:val="14"/>
    </w:rPr>
  </w:style>
  <w:style w:type="numbering" w:styleId="111111">
    <w:name w:val="Outline List 2"/>
    <w:basedOn w:val="NoList"/>
    <w:semiHidden/>
    <w:rsid w:val="003B637B"/>
    <w:pPr>
      <w:numPr>
        <w:numId w:val="5"/>
      </w:numPr>
    </w:pPr>
  </w:style>
  <w:style w:type="numbering" w:styleId="1ai">
    <w:name w:val="Outline List 1"/>
    <w:basedOn w:val="NoList"/>
    <w:semiHidden/>
    <w:rsid w:val="003B637B"/>
    <w:pPr>
      <w:numPr>
        <w:numId w:val="6"/>
      </w:numPr>
    </w:pPr>
  </w:style>
  <w:style w:type="numbering" w:styleId="ArticleSection">
    <w:name w:val="Outline List 3"/>
    <w:basedOn w:val="NoList"/>
    <w:semiHidden/>
    <w:rsid w:val="003B637B"/>
    <w:pPr>
      <w:numPr>
        <w:numId w:val="7"/>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33783A"/>
    <w:pPr>
      <w:numPr>
        <w:ilvl w:val="1"/>
        <w:numId w:val="27"/>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B637B"/>
    <w:rPr>
      <w:rFonts w:ascii="Arial" w:hAnsi="Arial" w:cs="Arial"/>
    </w:rPr>
  </w:style>
  <w:style w:type="character" w:styleId="FollowedHyperlink">
    <w:name w:val="FollowedHyperlink"/>
    <w:uiPriority w:val="16"/>
    <w:unhideWhenUsed/>
    <w:rsid w:val="00232418"/>
    <w:rPr>
      <w:color w:val="5F497A"/>
      <w:u w:val="single"/>
    </w:rPr>
  </w:style>
  <w:style w:type="paragraph" w:styleId="Footer">
    <w:name w:val="footer"/>
    <w:basedOn w:val="Normal"/>
    <w:link w:val="FooterChar"/>
    <w:uiPriority w:val="15"/>
    <w:rsid w:val="008623DD"/>
    <w:pPr>
      <w:tabs>
        <w:tab w:val="center" w:pos="4153"/>
        <w:tab w:val="right" w:pos="8306"/>
      </w:tabs>
      <w:jc w:val="center"/>
    </w:pPr>
    <w:rPr>
      <w:rFonts w:ascii="Arial" w:hAnsi="Arial"/>
    </w:rPr>
  </w:style>
  <w:style w:type="paragraph" w:styleId="Header">
    <w:name w:val="header"/>
    <w:basedOn w:val="Normal"/>
    <w:link w:val="HeaderChar"/>
    <w:uiPriority w:val="15"/>
    <w:rsid w:val="00CD1D61"/>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99"/>
    <w:unhideWhenUsed/>
    <w:rsid w:val="00466888"/>
    <w:rPr>
      <w:color w:val="1F497D"/>
      <w:u w:val="single"/>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8"/>
      </w:numPr>
    </w:pPr>
  </w:style>
  <w:style w:type="paragraph" w:styleId="ListBullet2">
    <w:name w:val="List Bullet 2"/>
    <w:basedOn w:val="Normal"/>
    <w:semiHidden/>
    <w:rsid w:val="003B637B"/>
    <w:pPr>
      <w:numPr>
        <w:numId w:val="9"/>
      </w:numPr>
    </w:pPr>
  </w:style>
  <w:style w:type="paragraph" w:styleId="ListBullet3">
    <w:name w:val="List Bullet 3"/>
    <w:basedOn w:val="Normal"/>
    <w:semiHidden/>
    <w:rsid w:val="003B637B"/>
    <w:pPr>
      <w:numPr>
        <w:numId w:val="10"/>
      </w:numPr>
    </w:pPr>
  </w:style>
  <w:style w:type="paragraph" w:styleId="ListBullet4">
    <w:name w:val="List Bullet 4"/>
    <w:basedOn w:val="Normal"/>
    <w:semiHidden/>
    <w:rsid w:val="003B637B"/>
    <w:pPr>
      <w:numPr>
        <w:numId w:val="11"/>
      </w:numPr>
    </w:pPr>
  </w:style>
  <w:style w:type="paragraph" w:styleId="ListBullet5">
    <w:name w:val="List Bullet 5"/>
    <w:basedOn w:val="Normal"/>
    <w:semiHidden/>
    <w:rsid w:val="003B637B"/>
    <w:pPr>
      <w:numPr>
        <w:numId w:val="12"/>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3"/>
      </w:numPr>
    </w:pPr>
  </w:style>
  <w:style w:type="paragraph" w:styleId="ListNumber2">
    <w:name w:val="List Number 2"/>
    <w:basedOn w:val="Normal"/>
    <w:semiHidden/>
    <w:rsid w:val="003B637B"/>
    <w:pPr>
      <w:numPr>
        <w:numId w:val="14"/>
      </w:numPr>
    </w:pPr>
  </w:style>
  <w:style w:type="paragraph" w:styleId="ListNumber3">
    <w:name w:val="List Number 3"/>
    <w:basedOn w:val="Normal"/>
    <w:semiHidden/>
    <w:rsid w:val="003B637B"/>
    <w:pPr>
      <w:numPr>
        <w:numId w:val="15"/>
      </w:numPr>
    </w:pPr>
  </w:style>
  <w:style w:type="paragraph" w:styleId="ListNumber4">
    <w:name w:val="List Number 4"/>
    <w:basedOn w:val="Normal"/>
    <w:semiHidden/>
    <w:rsid w:val="003B637B"/>
    <w:pPr>
      <w:numPr>
        <w:numId w:val="16"/>
      </w:numPr>
    </w:pPr>
  </w:style>
  <w:style w:type="paragraph" w:styleId="ListNumber5">
    <w:name w:val="List Number 5"/>
    <w:basedOn w:val="Normal"/>
    <w:semiHidden/>
    <w:rsid w:val="003B637B"/>
    <w:pPr>
      <w:numPr>
        <w:numId w:val="17"/>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21"/>
    <w:unhideWhenUsed/>
    <w:rsid w:val="009B2765"/>
    <w:pPr>
      <w:tabs>
        <w:tab w:val="clear" w:pos="397"/>
      </w:tabs>
      <w:spacing w:before="60" w:line="240" w:lineRule="atLeast"/>
      <w:ind w:left="992" w:hanging="992"/>
    </w:pPr>
    <w:rPr>
      <w:b w:val="0"/>
    </w:rPr>
  </w:style>
  <w:style w:type="table" w:styleId="TableProfessional">
    <w:name w:val="Table Professional"/>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637B"/>
    <w:pPr>
      <w:spacing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Headingtotal">
    <w:name w:val="Table/Fig: Heading &amp; total"/>
    <w:basedOn w:val="TableFigText"/>
    <w:next w:val="TableFigText"/>
    <w:uiPriority w:val="6"/>
    <w:rsid w:val="009B2765"/>
    <w:rPr>
      <w:b/>
    </w:rPr>
  </w:style>
  <w:style w:type="character" w:customStyle="1" w:styleId="Heading1Char">
    <w:name w:val="Heading 1 Char"/>
    <w:link w:val="Heading1"/>
    <w:uiPriority w:val="1"/>
    <w:rsid w:val="00EA5C10"/>
    <w:rPr>
      <w:rFonts w:ascii="Arial" w:hAnsi="Arial"/>
      <w:b/>
      <w:color w:val="000000"/>
      <w:sz w:val="44"/>
      <w:lang w:eastAsia="en-US"/>
    </w:rPr>
  </w:style>
  <w:style w:type="character" w:customStyle="1" w:styleId="TableFigTextChar">
    <w:name w:val="Table/Fig: Text Char"/>
    <w:link w:val="TableFigText"/>
    <w:uiPriority w:val="6"/>
    <w:rsid w:val="000E3F97"/>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rPr>
  </w:style>
  <w:style w:type="character" w:customStyle="1" w:styleId="AIHWbodytextChar">
    <w:name w:val="AIHW body text Char"/>
    <w:link w:val="AIHWbodytext"/>
    <w:locked/>
    <w:rsid w:val="00FC5F5C"/>
    <w:rPr>
      <w:color w:val="000000"/>
      <w:sz w:val="22"/>
      <w:lang w:eastAsia="en-US"/>
    </w:rPr>
  </w:style>
  <w:style w:type="character" w:customStyle="1" w:styleId="Heading2Char">
    <w:name w:val="Heading 2 Char"/>
    <w:link w:val="Heading2"/>
    <w:uiPriority w:val="1"/>
    <w:rsid w:val="00BE6005"/>
    <w:rPr>
      <w:rFonts w:ascii="Arial" w:hAnsi="Arial"/>
      <w:b/>
      <w:color w:val="000000"/>
      <w:sz w:val="36"/>
      <w:lang w:eastAsia="en-US"/>
    </w:rPr>
  </w:style>
  <w:style w:type="character" w:customStyle="1" w:styleId="Heading3Char">
    <w:name w:val="Heading 3 Char"/>
    <w:link w:val="Heading3"/>
    <w:uiPriority w:val="1"/>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0E3F97"/>
    <w:rPr>
      <w:b/>
      <w:color w:val="000000"/>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uiPriority w:val="21"/>
    <w:unhideWhenUsed/>
    <w:rsid w:val="00BC3DD5"/>
    <w:rPr>
      <w:sz w:val="16"/>
      <w:szCs w:val="16"/>
    </w:rPr>
  </w:style>
  <w:style w:type="paragraph" w:styleId="CommentText">
    <w:name w:val="annotation text"/>
    <w:basedOn w:val="Normal"/>
    <w:link w:val="CommentTextChar"/>
    <w:uiPriority w:val="21"/>
    <w:unhideWhenUsed/>
    <w:rsid w:val="00BC3DD5"/>
  </w:style>
  <w:style w:type="character" w:customStyle="1" w:styleId="CommentTextChar">
    <w:name w:val="Comment Text Char"/>
    <w:link w:val="CommentText"/>
    <w:uiPriority w:val="21"/>
    <w:rsid w:val="00232418"/>
  </w:style>
  <w:style w:type="paragraph" w:styleId="CommentSubject">
    <w:name w:val="annotation subject"/>
    <w:basedOn w:val="CommentText"/>
    <w:next w:val="CommentText"/>
    <w:link w:val="CommentSubjectChar"/>
    <w:uiPriority w:val="21"/>
    <w:unhideWhenUsed/>
    <w:rsid w:val="00BC3DD5"/>
    <w:rPr>
      <w:b/>
      <w:bCs/>
    </w:rPr>
  </w:style>
  <w:style w:type="character" w:customStyle="1" w:styleId="CommentSubjectChar">
    <w:name w:val="Comment Subject Char"/>
    <w:link w:val="CommentSubject"/>
    <w:uiPriority w:val="21"/>
    <w:rsid w:val="00232418"/>
    <w:rPr>
      <w:b/>
      <w:bCs/>
    </w:r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character" w:customStyle="1" w:styleId="FooterChar">
    <w:name w:val="Footer Char"/>
    <w:link w:val="Footer"/>
    <w:uiPriority w:val="15"/>
    <w:rsid w:val="00232418"/>
    <w:rPr>
      <w:rFonts w:ascii="Arial" w:hAnsi="Arial"/>
      <w:lang w:eastAsia="en-US"/>
    </w:rPr>
  </w:style>
  <w:style w:type="paragraph" w:customStyle="1" w:styleId="AIHWbodytextintable">
    <w:name w:val="AIHW body text in table"/>
    <w:basedOn w:val="AIHWbodytext"/>
    <w:next w:val="AIHWbodytext"/>
    <w:rsid w:val="00CD777B"/>
    <w:pPr>
      <w:spacing w:before="80" w:after="80"/>
    </w:pPr>
  </w:style>
  <w:style w:type="paragraph" w:customStyle="1" w:styleId="Boxcontinued">
    <w:name w:val="Box: (continued)"/>
    <w:basedOn w:val="BoxText"/>
    <w:next w:val="BoxHeading1"/>
    <w:uiPriority w:val="4"/>
    <w:rsid w:val="00BE6005"/>
    <w:pPr>
      <w:spacing w:after="0"/>
      <w:jc w:val="right"/>
    </w:pPr>
    <w:rPr>
      <w:i/>
      <w:sz w:val="20"/>
    </w:rPr>
  </w:style>
  <w:style w:type="paragraph" w:customStyle="1" w:styleId="Default">
    <w:name w:val="Default"/>
    <w:uiPriority w:val="99"/>
    <w:rsid w:val="001E4776"/>
    <w:pPr>
      <w:autoSpaceDE w:val="0"/>
      <w:autoSpaceDN w:val="0"/>
      <w:adjustRightInd w:val="0"/>
    </w:pPr>
    <w:rPr>
      <w:rFonts w:cs="Book Antiqua"/>
      <w:color w:val="000000"/>
      <w:sz w:val="24"/>
      <w:szCs w:val="24"/>
      <w:lang w:val="en-US" w:eastAsia="en-US"/>
    </w:rPr>
  </w:style>
  <w:style w:type="paragraph" w:styleId="ListParagraph">
    <w:name w:val="List Paragraph"/>
    <w:basedOn w:val="Normal"/>
    <w:uiPriority w:val="34"/>
    <w:qFormat/>
    <w:rsid w:val="001E4776"/>
    <w:pPr>
      <w:ind w:left="720"/>
      <w:contextualSpacing/>
    </w:pPr>
    <w:rPr>
      <w:rFonts w:ascii="Times New Roman" w:hAnsi="Times New Roman"/>
      <w:sz w:val="24"/>
      <w:lang w:eastAsia="en-AU"/>
    </w:rPr>
  </w:style>
  <w:style w:type="paragraph" w:customStyle="1" w:styleId="StyleBefore2ptAfter2ptLinespacingsingle">
    <w:name w:val="Style Before:  2 pt After:  2 pt Line spacing:  single"/>
    <w:basedOn w:val="Normal"/>
    <w:uiPriority w:val="99"/>
    <w:rsid w:val="001E4776"/>
    <w:pPr>
      <w:spacing w:before="40" w:after="40" w:line="276" w:lineRule="auto"/>
    </w:pPr>
    <w:rPr>
      <w:rFonts w:ascii="Garamond" w:hAnsi="Garamond"/>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hocn.org/static/files/assets/97497d52/Modelling_Candidate_Indicators_of_Effectiveness_200806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42ACD-4181-4B80-850D-0BB87DF2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MHS PI 16: Aspects of recovery for children and adolescents according to parents/carers</vt:lpstr>
    </vt:vector>
  </TitlesOfParts>
  <Company>Australian Institute of Health and Welfare</Company>
  <LinksUpToDate>false</LinksUpToDate>
  <CharactersWithSpaces>17820</CharactersWithSpaces>
  <SharedDoc>false</SharedDoc>
  <HLinks>
    <vt:vector size="6" baseType="variant">
      <vt:variant>
        <vt:i4>5242941</vt:i4>
      </vt:variant>
      <vt:variant>
        <vt:i4>0</vt:i4>
      </vt:variant>
      <vt:variant>
        <vt:i4>0</vt:i4>
      </vt:variant>
      <vt:variant>
        <vt:i4>5</vt:i4>
      </vt:variant>
      <vt:variant>
        <vt:lpwstr>http://amhocn.org/static/files/assets/97497d52/Modelling_Candidate_Indicators_of_Effectiveness_20080618.pdf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 PI 16: Aspects of recovery for children and adolescents according to parents/carers</dc:title>
  <dc:subject/>
  <dc:creator>AIHW</dc:creator>
  <cp:keywords/>
  <cp:lastPrinted>2011-02-10T21:45:00Z</cp:lastPrinted>
  <dcterms:created xsi:type="dcterms:W3CDTF">2024-01-30T05:27:00Z</dcterms:created>
  <dcterms:modified xsi:type="dcterms:W3CDTF">2024-01-30T05:27:00Z</dcterms:modified>
</cp:coreProperties>
</file>