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4E9A" w14:textId="622E2D5F" w:rsidR="00185E45" w:rsidRPr="00185E45" w:rsidRDefault="00185E45" w:rsidP="0097478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5607F">
        <w:rPr>
          <w:rFonts w:ascii="Book Antiqua" w:eastAsia="Times New Roman" w:hAnsi="Book Antiqua" w:cs="Times New Roman"/>
          <w:noProof/>
          <w:color w:val="0000FF"/>
          <w:sz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4AD1B85" wp14:editId="500577A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322320" cy="914400"/>
            <wp:effectExtent l="0" t="0" r="0" b="0"/>
            <wp:wrapSquare wrapText="bothSides"/>
            <wp:docPr id="3" name="Picture 3" descr="Description: Description: Description: Australian Government: Australian Institute of Health and Welfare">
              <a:hlinkClick xmlns:a="http://schemas.openxmlformats.org/drawingml/2006/main" r:id="rId8" tooltip="Australian Government: Australian Institute of Health and Welfa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ustralian Government: Australian Institute of Health and Welfare">
                      <a:hlinkClick r:id="rId8" tooltip="Australian Government: Australian Institute of Health and Welfar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7BE">
        <w:br w:type="textWrapping" w:clear="all"/>
      </w:r>
      <w:r w:rsidRPr="00185E45">
        <w:rPr>
          <w:b/>
          <w:bCs/>
          <w:sz w:val="32"/>
          <w:szCs w:val="32"/>
        </w:rPr>
        <w:t>AIHW Ethics Committee</w:t>
      </w:r>
    </w:p>
    <w:p w14:paraId="6A1F3DDD" w14:textId="208F8622" w:rsidR="00BE5266" w:rsidRPr="00185E45" w:rsidRDefault="00185E45" w:rsidP="0097478F">
      <w:pPr>
        <w:spacing w:after="60" w:line="240" w:lineRule="auto"/>
        <w:jc w:val="center"/>
        <w:rPr>
          <w:b/>
          <w:bCs/>
          <w:sz w:val="32"/>
          <w:szCs w:val="32"/>
        </w:rPr>
      </w:pPr>
      <w:r w:rsidRPr="00185E45">
        <w:rPr>
          <w:b/>
          <w:bCs/>
          <w:sz w:val="32"/>
          <w:szCs w:val="32"/>
        </w:rPr>
        <w:t xml:space="preserve">Human </w:t>
      </w:r>
      <w:r w:rsidR="00890E58">
        <w:rPr>
          <w:b/>
          <w:bCs/>
          <w:sz w:val="32"/>
          <w:szCs w:val="32"/>
        </w:rPr>
        <w:t>r</w:t>
      </w:r>
      <w:r w:rsidRPr="00185E45">
        <w:rPr>
          <w:b/>
          <w:bCs/>
          <w:sz w:val="32"/>
          <w:szCs w:val="32"/>
        </w:rPr>
        <w:t xml:space="preserve">esearch </w:t>
      </w:r>
      <w:r w:rsidR="00890E58">
        <w:rPr>
          <w:b/>
          <w:bCs/>
          <w:sz w:val="32"/>
          <w:szCs w:val="32"/>
        </w:rPr>
        <w:t>e</w:t>
      </w:r>
      <w:r w:rsidRPr="00185E45">
        <w:rPr>
          <w:b/>
          <w:bCs/>
          <w:sz w:val="32"/>
          <w:szCs w:val="32"/>
        </w:rPr>
        <w:t xml:space="preserve">thics </w:t>
      </w:r>
      <w:r w:rsidR="00890E58">
        <w:rPr>
          <w:b/>
          <w:bCs/>
          <w:sz w:val="32"/>
          <w:szCs w:val="32"/>
        </w:rPr>
        <w:t>a</w:t>
      </w:r>
      <w:r w:rsidRPr="00185E45">
        <w:rPr>
          <w:b/>
          <w:bCs/>
          <w:sz w:val="32"/>
          <w:szCs w:val="32"/>
        </w:rPr>
        <w:t xml:space="preserve">pplication </w:t>
      </w:r>
      <w:r w:rsidR="00890E58">
        <w:rPr>
          <w:b/>
          <w:bCs/>
          <w:sz w:val="32"/>
          <w:szCs w:val="32"/>
        </w:rPr>
        <w:t>f</w:t>
      </w:r>
      <w:r w:rsidRPr="00185E45">
        <w:rPr>
          <w:b/>
          <w:bCs/>
          <w:sz w:val="32"/>
          <w:szCs w:val="32"/>
        </w:rPr>
        <w:t xml:space="preserve">ee </w:t>
      </w:r>
      <w:r w:rsidR="00890E58">
        <w:rPr>
          <w:b/>
          <w:bCs/>
          <w:sz w:val="32"/>
          <w:szCs w:val="32"/>
        </w:rPr>
        <w:t>s</w:t>
      </w:r>
      <w:r w:rsidRPr="00185E45">
        <w:rPr>
          <w:b/>
          <w:bCs/>
          <w:sz w:val="32"/>
          <w:szCs w:val="32"/>
        </w:rPr>
        <w:t>chedule</w:t>
      </w:r>
      <w:r w:rsidR="00E978A9">
        <w:rPr>
          <w:b/>
          <w:bCs/>
          <w:sz w:val="32"/>
          <w:szCs w:val="32"/>
        </w:rPr>
        <w:br/>
      </w:r>
      <w:r w:rsidR="00890E58">
        <w:rPr>
          <w:b/>
          <w:bCs/>
          <w:sz w:val="32"/>
          <w:szCs w:val="32"/>
        </w:rPr>
        <w:t>c</w:t>
      </w:r>
      <w:r w:rsidR="00CA6C69">
        <w:rPr>
          <w:b/>
          <w:bCs/>
          <w:sz w:val="32"/>
          <w:szCs w:val="32"/>
        </w:rPr>
        <w:t xml:space="preserve">ommencing </w:t>
      </w:r>
      <w:r w:rsidR="00293DE3">
        <w:rPr>
          <w:b/>
          <w:bCs/>
          <w:sz w:val="32"/>
          <w:szCs w:val="32"/>
        </w:rPr>
        <w:t>with applications</w:t>
      </w:r>
      <w:r w:rsidR="00134995">
        <w:rPr>
          <w:b/>
          <w:bCs/>
          <w:sz w:val="32"/>
          <w:szCs w:val="32"/>
        </w:rPr>
        <w:t xml:space="preserve"> lodged on or after 26 February 2021</w:t>
      </w:r>
    </w:p>
    <w:p w14:paraId="35E437A6" w14:textId="5C428954" w:rsidR="00F42A27" w:rsidRDefault="00F42A27" w:rsidP="0097478F">
      <w:pPr>
        <w:spacing w:after="60" w:line="240" w:lineRule="auto"/>
        <w:rPr>
          <w:lang w:val="en-AU"/>
        </w:rPr>
      </w:pPr>
      <w:r>
        <w:rPr>
          <w:lang w:val="en-AU"/>
        </w:rPr>
        <w:t xml:space="preserve"> </w:t>
      </w:r>
    </w:p>
    <w:p w14:paraId="2921C970" w14:textId="426BB19F" w:rsidR="00F42A27" w:rsidRDefault="00F42A27" w:rsidP="00F42A27">
      <w:pPr>
        <w:spacing w:after="120" w:line="240" w:lineRule="auto"/>
      </w:pPr>
      <w:r>
        <w:t xml:space="preserve">A fee is charged for </w:t>
      </w:r>
      <w:r w:rsidR="00293DE3">
        <w:t xml:space="preserve">consideration of </w:t>
      </w:r>
      <w:r>
        <w:t>a research project by the A</w:t>
      </w:r>
      <w:r w:rsidR="00293DE3">
        <w:t xml:space="preserve">ustralian Institute of Health and Welfare </w:t>
      </w:r>
      <w:r>
        <w:t>Ethics Committee (Committee). The fee contributes to the costs of undertaking an ethical review process, regardless of the outcome of that review.</w:t>
      </w:r>
    </w:p>
    <w:p w14:paraId="5624AC7A" w14:textId="3889F655" w:rsidR="00185E45" w:rsidRPr="00DF58CD" w:rsidRDefault="00865EFA" w:rsidP="00540454">
      <w:pPr>
        <w:spacing w:before="240" w:after="120" w:line="240" w:lineRule="auto"/>
        <w:rPr>
          <w:b/>
          <w:bCs/>
          <w:sz w:val="24"/>
          <w:szCs w:val="24"/>
        </w:rPr>
      </w:pPr>
      <w:r w:rsidRPr="00DF58CD">
        <w:rPr>
          <w:b/>
          <w:bCs/>
          <w:sz w:val="24"/>
          <w:szCs w:val="24"/>
        </w:rPr>
        <w:t xml:space="preserve">New </w:t>
      </w:r>
      <w:r w:rsidR="00777B92">
        <w:rPr>
          <w:b/>
          <w:bCs/>
          <w:sz w:val="24"/>
          <w:szCs w:val="24"/>
        </w:rPr>
        <w:t>a</w:t>
      </w:r>
      <w:r w:rsidRPr="00DF58CD">
        <w:rPr>
          <w:b/>
          <w:bCs/>
          <w:sz w:val="24"/>
          <w:szCs w:val="24"/>
        </w:rPr>
        <w:t>pplications</w:t>
      </w:r>
    </w:p>
    <w:p w14:paraId="57F9AAAC" w14:textId="77777777" w:rsidR="009B0ED2" w:rsidRDefault="005D364F" w:rsidP="004036E9">
      <w:pPr>
        <w:spacing w:after="120" w:line="240" w:lineRule="auto"/>
      </w:pPr>
      <w:r>
        <w:t>This fee covers the cost of reviewing the application documents and the associated administrative responsibilities</w:t>
      </w:r>
      <w:r w:rsidR="00B05918">
        <w:t xml:space="preserve"> across the ethics approval timeline</w:t>
      </w:r>
      <w:r>
        <w:t xml:space="preserve">. </w:t>
      </w:r>
      <w:r w:rsidR="00865EFA">
        <w:t xml:space="preserve">The </w:t>
      </w:r>
      <w:r w:rsidR="002A30AD">
        <w:t xml:space="preserve">application </w:t>
      </w:r>
      <w:r w:rsidR="00865EFA">
        <w:t xml:space="preserve">fee </w:t>
      </w:r>
      <w:r w:rsidR="00FE2DBE">
        <w:t>contributes to</w:t>
      </w:r>
      <w:r w:rsidR="009B0ED2">
        <w:t>:</w:t>
      </w:r>
    </w:p>
    <w:p w14:paraId="20157DF9" w14:textId="1FBBDEFE" w:rsidR="009B0ED2" w:rsidRDefault="00865EFA" w:rsidP="009B0ED2">
      <w:pPr>
        <w:pStyle w:val="ListParagraph"/>
        <w:numPr>
          <w:ilvl w:val="0"/>
          <w:numId w:val="8"/>
        </w:numPr>
        <w:spacing w:after="120" w:line="240" w:lineRule="auto"/>
      </w:pPr>
      <w:r>
        <w:t>pre-submission assistance</w:t>
      </w:r>
      <w:r w:rsidR="009B0ED2">
        <w:t xml:space="preserve"> by the </w:t>
      </w:r>
      <w:r w:rsidR="0058193B">
        <w:t>AIHW Ethics Secretariat</w:t>
      </w:r>
    </w:p>
    <w:p w14:paraId="738E8C1A" w14:textId="590927E8" w:rsidR="009B0ED2" w:rsidRDefault="00865EFA" w:rsidP="009B0ED2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initial </w:t>
      </w:r>
      <w:r w:rsidR="005D364F">
        <w:t xml:space="preserve">compliance </w:t>
      </w:r>
      <w:r>
        <w:t>review</w:t>
      </w:r>
      <w:r w:rsidR="009B0ED2" w:rsidRPr="009B0ED2">
        <w:t xml:space="preserve"> </w:t>
      </w:r>
    </w:p>
    <w:p w14:paraId="3EA1A8B2" w14:textId="4F4CD87B" w:rsidR="009B0ED2" w:rsidRDefault="005D364F" w:rsidP="009B0ED2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consideration by the </w:t>
      </w:r>
      <w:r w:rsidR="00985AEF">
        <w:t>C</w:t>
      </w:r>
      <w:r>
        <w:t>ommittee</w:t>
      </w:r>
    </w:p>
    <w:p w14:paraId="5AD19A31" w14:textId="371A7E86" w:rsidR="009B0ED2" w:rsidRDefault="00F42A27">
      <w:pPr>
        <w:pStyle w:val="ListParagraph"/>
        <w:numPr>
          <w:ilvl w:val="0"/>
          <w:numId w:val="8"/>
        </w:numPr>
        <w:spacing w:after="120" w:line="240" w:lineRule="auto"/>
      </w:pPr>
      <w:r>
        <w:t>costs of the ongoing review of adverse and privacy events</w:t>
      </w:r>
    </w:p>
    <w:p w14:paraId="10B5B292" w14:textId="7DE2B4BC" w:rsidR="00F42A27" w:rsidRDefault="00F42A27">
      <w:pPr>
        <w:pStyle w:val="ListParagraph"/>
        <w:numPr>
          <w:ilvl w:val="0"/>
          <w:numId w:val="8"/>
        </w:numPr>
        <w:spacing w:after="120" w:line="240" w:lineRule="auto"/>
      </w:pPr>
      <w:r>
        <w:t>protocol violations</w:t>
      </w:r>
    </w:p>
    <w:p w14:paraId="3615285C" w14:textId="77777777" w:rsidR="009B0ED2" w:rsidRDefault="00865EFA" w:rsidP="009B0ED2">
      <w:pPr>
        <w:pStyle w:val="ListParagraph"/>
        <w:numPr>
          <w:ilvl w:val="0"/>
          <w:numId w:val="8"/>
        </w:numPr>
        <w:spacing w:after="120" w:line="240" w:lineRule="auto"/>
      </w:pPr>
      <w:r>
        <w:t>site visits</w:t>
      </w:r>
    </w:p>
    <w:p w14:paraId="64BA341A" w14:textId="0E74BBF1" w:rsidR="00865EFA" w:rsidRDefault="009B0ED2" w:rsidP="00F931FA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annual </w:t>
      </w:r>
      <w:r w:rsidR="00865EFA">
        <w:t xml:space="preserve">monitoring of </w:t>
      </w:r>
      <w:r>
        <w:t xml:space="preserve">the project until </w:t>
      </w:r>
      <w:r w:rsidR="00DF09EB">
        <w:t>Commonwealth</w:t>
      </w:r>
      <w:r>
        <w:t xml:space="preserve"> data </w:t>
      </w:r>
      <w:r w:rsidR="00890E58">
        <w:t>are</w:t>
      </w:r>
      <w:r>
        <w:t xml:space="preserve"> returned or destroyed</w:t>
      </w:r>
      <w:r w:rsidR="00890E58">
        <w:t xml:space="preserve"> in accordance with the project approval.</w:t>
      </w:r>
    </w:p>
    <w:p w14:paraId="566DABC0" w14:textId="77777777" w:rsidR="008D330A" w:rsidRDefault="008D330A" w:rsidP="00873ED3">
      <w:pPr>
        <w:spacing w:after="0" w:line="240" w:lineRule="auto"/>
      </w:pPr>
      <w:r>
        <w:t xml:space="preserve">The </w:t>
      </w:r>
      <w:r w:rsidR="002A30AD">
        <w:t xml:space="preserve">application </w:t>
      </w:r>
      <w:r>
        <w:t xml:space="preserve">fee has two </w:t>
      </w:r>
      <w:r w:rsidR="000824EC">
        <w:t xml:space="preserve">standard </w:t>
      </w:r>
      <w:r>
        <w:t>tiers covering:</w:t>
      </w:r>
    </w:p>
    <w:p w14:paraId="4862CA94" w14:textId="299DDB75" w:rsidR="008D330A" w:rsidRDefault="00F3033C" w:rsidP="00873ED3">
      <w:pPr>
        <w:pStyle w:val="ListParagraph"/>
        <w:numPr>
          <w:ilvl w:val="0"/>
          <w:numId w:val="2"/>
        </w:numPr>
        <w:spacing w:line="240" w:lineRule="auto"/>
      </w:pPr>
      <w:r w:rsidRPr="00F3033C">
        <w:rPr>
          <w:i/>
        </w:rPr>
        <w:t>Complex / more than low risk application</w:t>
      </w:r>
      <w:r w:rsidR="008D330A">
        <w:t xml:space="preserve">: typically those requiring a waiver of consent under s.95 of the </w:t>
      </w:r>
      <w:r w:rsidR="008D330A" w:rsidRPr="00540454">
        <w:rPr>
          <w:i/>
        </w:rPr>
        <w:t>Privacy Act 1988</w:t>
      </w:r>
      <w:r w:rsidR="00777B92">
        <w:rPr>
          <w:i/>
        </w:rPr>
        <w:t xml:space="preserve"> </w:t>
      </w:r>
      <w:r w:rsidR="00777B92">
        <w:t>(Cth)</w:t>
      </w:r>
    </w:p>
    <w:p w14:paraId="110263D7" w14:textId="46326D7A" w:rsidR="008D330A" w:rsidRDefault="002A30AD" w:rsidP="00873ED3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rPr>
          <w:i/>
        </w:rPr>
        <w:lastRenderedPageBreak/>
        <w:t xml:space="preserve">Less </w:t>
      </w:r>
      <w:r w:rsidRPr="00F3033C">
        <w:rPr>
          <w:i/>
        </w:rPr>
        <w:t xml:space="preserve">complicated </w:t>
      </w:r>
      <w:r w:rsidR="00F3033C" w:rsidRPr="00F3033C">
        <w:rPr>
          <w:i/>
        </w:rPr>
        <w:t>/ Low or negligible risk application</w:t>
      </w:r>
      <w:r w:rsidR="00873ED3">
        <w:t xml:space="preserve">: </w:t>
      </w:r>
      <w:r w:rsidR="008D6D18">
        <w:t>typically,</w:t>
      </w:r>
      <w:r w:rsidR="00873ED3">
        <w:t xml:space="preserve"> those with</w:t>
      </w:r>
      <w:r w:rsidR="008D330A">
        <w:t xml:space="preserve"> </w:t>
      </w:r>
      <w:r w:rsidR="00777B92">
        <w:t xml:space="preserve">fully consented </w:t>
      </w:r>
      <w:r w:rsidR="00873ED3">
        <w:t>arrangements</w:t>
      </w:r>
    </w:p>
    <w:p w14:paraId="23BCDAF1" w14:textId="179EAE46" w:rsidR="00F3033C" w:rsidRDefault="00F3033C" w:rsidP="00873ED3">
      <w:pPr>
        <w:spacing w:after="0" w:line="240" w:lineRule="auto"/>
      </w:pPr>
      <w:r>
        <w:t>These concepts are described in more detail under the heading ‘</w:t>
      </w:r>
      <w:r w:rsidR="003C17CA">
        <w:t xml:space="preserve">Fee </w:t>
      </w:r>
      <w:r>
        <w:t>Categories’ below.</w:t>
      </w:r>
      <w:r w:rsidR="003C17CA" w:rsidRPr="003C17CA">
        <w:t xml:space="preserve"> </w:t>
      </w:r>
      <w:r w:rsidR="003C17CA" w:rsidRPr="00717208">
        <w:t xml:space="preserve">The </w:t>
      </w:r>
      <w:r w:rsidR="00777B92">
        <w:t xml:space="preserve">AIHW </w:t>
      </w:r>
      <w:r w:rsidR="003C17CA" w:rsidRPr="00717208">
        <w:t xml:space="preserve">CEO </w:t>
      </w:r>
      <w:r w:rsidR="003C17CA">
        <w:t>or delegate has discretion</w:t>
      </w:r>
      <w:r w:rsidR="003C17CA" w:rsidRPr="00717208">
        <w:t xml:space="preserve"> to reduce or waive fees for any research project</w:t>
      </w:r>
      <w:r w:rsidR="00777B92">
        <w:t xml:space="preserve"> as considered appropriate,</w:t>
      </w:r>
      <w:r w:rsidR="003C17CA">
        <w:t xml:space="preserve"> and may set a fee that is different to the standard fees</w:t>
      </w:r>
      <w:r w:rsidR="003C17CA" w:rsidRPr="00717208">
        <w:t>.</w:t>
      </w:r>
    </w:p>
    <w:p w14:paraId="62CC6CC0" w14:textId="3D907BD0" w:rsidR="00865EFA" w:rsidRPr="00DF58CD" w:rsidRDefault="00865EFA" w:rsidP="00540454">
      <w:pPr>
        <w:spacing w:before="240" w:after="120" w:line="240" w:lineRule="auto"/>
        <w:rPr>
          <w:b/>
          <w:bCs/>
          <w:sz w:val="24"/>
          <w:szCs w:val="24"/>
        </w:rPr>
      </w:pPr>
      <w:r w:rsidRPr="00DF58CD">
        <w:rPr>
          <w:b/>
          <w:bCs/>
          <w:sz w:val="24"/>
          <w:szCs w:val="24"/>
        </w:rPr>
        <w:t xml:space="preserve">Amendments and </w:t>
      </w:r>
      <w:r w:rsidR="00777B92">
        <w:rPr>
          <w:b/>
          <w:bCs/>
          <w:sz w:val="24"/>
          <w:szCs w:val="24"/>
        </w:rPr>
        <w:t>e</w:t>
      </w:r>
      <w:r w:rsidRPr="00DF58CD">
        <w:rPr>
          <w:b/>
          <w:bCs/>
          <w:sz w:val="24"/>
          <w:szCs w:val="24"/>
        </w:rPr>
        <w:t>xtensions</w:t>
      </w:r>
    </w:p>
    <w:p w14:paraId="5774F6F0" w14:textId="4CC45763" w:rsidR="00865EFA" w:rsidRDefault="00865EFA" w:rsidP="00873ED3">
      <w:pPr>
        <w:spacing w:after="120" w:line="240" w:lineRule="auto"/>
      </w:pPr>
      <w:r>
        <w:t xml:space="preserve">Additional fees are levied for </w:t>
      </w:r>
      <w:r w:rsidR="00F3033C">
        <w:t xml:space="preserve">project </w:t>
      </w:r>
      <w:r>
        <w:t>amendments and extensions.</w:t>
      </w:r>
      <w:r w:rsidR="0033074B">
        <w:t xml:space="preserve"> An amendment fee will be charged for all but </w:t>
      </w:r>
      <w:r w:rsidR="00753585">
        <w:t>’simple amendments’ as described in the section ‘</w:t>
      </w:r>
      <w:r w:rsidR="003C17CA">
        <w:t>Fee C</w:t>
      </w:r>
      <w:r w:rsidR="00753585">
        <w:t>ategories’ below</w:t>
      </w:r>
      <w:r w:rsidR="0033074B">
        <w:t xml:space="preserve">. </w:t>
      </w:r>
      <w:r w:rsidR="00860B76" w:rsidRPr="00717208">
        <w:t>The CEO</w:t>
      </w:r>
      <w:r w:rsidR="00091D5E">
        <w:t xml:space="preserve"> or delegate</w:t>
      </w:r>
      <w:r w:rsidR="00860B76" w:rsidRPr="00717208">
        <w:t xml:space="preserve"> </w:t>
      </w:r>
      <w:r w:rsidR="00860B76">
        <w:t>may</w:t>
      </w:r>
      <w:r w:rsidR="00860B76" w:rsidRPr="00717208">
        <w:t xml:space="preserve"> reduce or waive </w:t>
      </w:r>
      <w:r w:rsidR="00FB6998">
        <w:t>the</w:t>
      </w:r>
      <w:r w:rsidR="00860B76">
        <w:t xml:space="preserve"> fee </w:t>
      </w:r>
      <w:r w:rsidR="00FB6998">
        <w:t>for any amendment</w:t>
      </w:r>
      <w:r w:rsidR="00DF09EB">
        <w:t xml:space="preserve"> or extension</w:t>
      </w:r>
      <w:r w:rsidR="00777B92">
        <w:t xml:space="preserve"> at their discretion</w:t>
      </w:r>
      <w:r w:rsidR="00860B76" w:rsidRPr="00717208">
        <w:t>.</w:t>
      </w:r>
    </w:p>
    <w:p w14:paraId="3D323253" w14:textId="46040886" w:rsidR="0074279E" w:rsidRPr="00992931" w:rsidRDefault="000F0F0E" w:rsidP="00540454">
      <w:pPr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Reduction and </w:t>
      </w:r>
      <w:r w:rsidR="00777B92">
        <w:rPr>
          <w:b/>
          <w:bCs/>
          <w:sz w:val="24"/>
          <w:szCs w:val="24"/>
        </w:rPr>
        <w:t>w</w:t>
      </w:r>
      <w:r w:rsidR="0074279E" w:rsidRPr="00992931">
        <w:rPr>
          <w:b/>
          <w:bCs/>
          <w:sz w:val="24"/>
          <w:szCs w:val="24"/>
        </w:rPr>
        <w:t xml:space="preserve">aiving of </w:t>
      </w:r>
      <w:r w:rsidR="00777B92">
        <w:rPr>
          <w:b/>
          <w:bCs/>
          <w:sz w:val="24"/>
          <w:szCs w:val="24"/>
        </w:rPr>
        <w:t>f</w:t>
      </w:r>
      <w:r w:rsidR="0074279E" w:rsidRPr="00992931">
        <w:rPr>
          <w:b/>
          <w:bCs/>
          <w:sz w:val="24"/>
          <w:szCs w:val="24"/>
        </w:rPr>
        <w:t>ees</w:t>
      </w:r>
    </w:p>
    <w:p w14:paraId="246F797E" w14:textId="77777777" w:rsidR="00F0386C" w:rsidRDefault="0058193B" w:rsidP="0074279E">
      <w:pPr>
        <w:spacing w:after="120" w:line="240" w:lineRule="auto"/>
      </w:pPr>
      <w:r>
        <w:t>Acknowledging</w:t>
      </w:r>
      <w:r w:rsidR="00FB7930">
        <w:t xml:space="preserve"> the AIHW role to </w:t>
      </w:r>
      <w:r>
        <w:t>promote</w:t>
      </w:r>
      <w:r w:rsidR="00FB7930">
        <w:t xml:space="preserve"> research</w:t>
      </w:r>
      <w:r w:rsidR="00BE207B">
        <w:rPr>
          <w:lang w:val="en-AU"/>
        </w:rPr>
        <w:t>,</w:t>
      </w:r>
      <w:r w:rsidR="000F0F0E">
        <w:rPr>
          <w:lang w:val="en-AU"/>
        </w:rPr>
        <w:t xml:space="preserve"> the </w:t>
      </w:r>
      <w:r w:rsidR="000F0F0E" w:rsidRPr="00717208">
        <w:t>CEO</w:t>
      </w:r>
      <w:r w:rsidR="000F0F0E">
        <w:t xml:space="preserve"> or delegate</w:t>
      </w:r>
      <w:r w:rsidR="000F0F0E" w:rsidRPr="00717208">
        <w:t xml:space="preserve"> </w:t>
      </w:r>
      <w:r w:rsidR="00D37441">
        <w:t>has</w:t>
      </w:r>
      <w:r w:rsidR="00DA5245">
        <w:t xml:space="preserve"> discretion to</w:t>
      </w:r>
      <w:r w:rsidR="000F0F0E" w:rsidRPr="00717208">
        <w:t xml:space="preserve"> reduce or waive </w:t>
      </w:r>
      <w:r w:rsidR="000F0F0E">
        <w:t>the fee for any application or amendment</w:t>
      </w:r>
      <w:r>
        <w:t>, noting that a</w:t>
      </w:r>
      <w:r w:rsidR="00DF09EB">
        <w:t xml:space="preserve">ny reduction in fees adds to the AIHW’s already significant absorption of costs. </w:t>
      </w:r>
    </w:p>
    <w:p w14:paraId="5B44AE1C" w14:textId="50EBAE61" w:rsidR="0097478F" w:rsidRDefault="0097478F">
      <w:r>
        <w:br w:type="page"/>
      </w:r>
    </w:p>
    <w:p w14:paraId="34EC6B3D" w14:textId="77777777" w:rsidR="0097478F" w:rsidRDefault="0097478F" w:rsidP="0074279E">
      <w:pPr>
        <w:spacing w:after="120" w:line="240" w:lineRule="auto"/>
      </w:pPr>
    </w:p>
    <w:p w14:paraId="49C16B86" w14:textId="156C2B4D" w:rsidR="00890E58" w:rsidRDefault="003B3CB7" w:rsidP="0074279E">
      <w:pPr>
        <w:spacing w:after="120" w:line="240" w:lineRule="auto"/>
      </w:pPr>
      <w:r>
        <w:t>Request</w:t>
      </w:r>
      <w:r w:rsidR="003B53B5">
        <w:t xml:space="preserve">s for </w:t>
      </w:r>
      <w:r>
        <w:t xml:space="preserve"> a reduction or waiving of a fee will be </w:t>
      </w:r>
      <w:r w:rsidRPr="003B53B5">
        <w:rPr>
          <w:i/>
        </w:rPr>
        <w:t xml:space="preserve">considered </w:t>
      </w:r>
      <w:r>
        <w:t xml:space="preserve">for the following categories of </w:t>
      </w:r>
      <w:r w:rsidR="003B53B5">
        <w:t>applications</w:t>
      </w:r>
      <w:r>
        <w:t>:</w:t>
      </w:r>
    </w:p>
    <w:p w14:paraId="1C46D790" w14:textId="23C7E6B5" w:rsidR="003B3CB7" w:rsidRPr="00DA5245" w:rsidRDefault="00DA5245" w:rsidP="0099701E">
      <w:pPr>
        <w:pStyle w:val="ListParagraph"/>
        <w:numPr>
          <w:ilvl w:val="0"/>
          <w:numId w:val="7"/>
        </w:numPr>
        <w:spacing w:after="120" w:line="260" w:lineRule="atLeast"/>
        <w:ind w:left="714" w:hanging="357"/>
      </w:pPr>
      <w:r>
        <w:rPr>
          <w:lang w:val="en-AU"/>
        </w:rPr>
        <w:t xml:space="preserve">students and other investigators </w:t>
      </w:r>
      <w:r w:rsidR="00777B92">
        <w:rPr>
          <w:lang w:val="en-AU"/>
        </w:rPr>
        <w:t xml:space="preserve">without </w:t>
      </w:r>
      <w:r>
        <w:rPr>
          <w:lang w:val="en-AU"/>
        </w:rPr>
        <w:t xml:space="preserve">funding </w:t>
      </w:r>
      <w:r w:rsidR="00777B92">
        <w:rPr>
          <w:lang w:val="en-AU"/>
        </w:rPr>
        <w:t>for their</w:t>
      </w:r>
      <w:r>
        <w:rPr>
          <w:lang w:val="en-AU"/>
        </w:rPr>
        <w:t xml:space="preserve"> research</w:t>
      </w:r>
    </w:p>
    <w:p w14:paraId="773D88A5" w14:textId="77777777" w:rsidR="00DA5245" w:rsidRDefault="00DA5245" w:rsidP="0099701E">
      <w:pPr>
        <w:pStyle w:val="ListParagraph"/>
        <w:numPr>
          <w:ilvl w:val="0"/>
          <w:numId w:val="7"/>
        </w:numPr>
        <w:spacing w:after="120" w:line="260" w:lineRule="atLeast"/>
        <w:ind w:left="714" w:hanging="357"/>
      </w:pPr>
      <w:r>
        <w:t xml:space="preserve">non-commercially </w:t>
      </w:r>
      <w:r w:rsidR="00D37441">
        <w:t xml:space="preserve">or research grant </w:t>
      </w:r>
      <w:r>
        <w:t>funded projects conducted by not-for-profit organisations and private education institutions</w:t>
      </w:r>
    </w:p>
    <w:p w14:paraId="0EB0225F" w14:textId="04E3D883" w:rsidR="00DA5245" w:rsidRPr="00CB17BB" w:rsidRDefault="00DA5245" w:rsidP="0099701E">
      <w:pPr>
        <w:pStyle w:val="ListParagraph"/>
        <w:numPr>
          <w:ilvl w:val="0"/>
          <w:numId w:val="7"/>
        </w:numPr>
        <w:spacing w:after="120" w:line="260" w:lineRule="atLeast"/>
        <w:ind w:left="714" w:hanging="357"/>
      </w:pPr>
      <w:r w:rsidRPr="00D37441">
        <w:rPr>
          <w:lang w:val="en-AU"/>
        </w:rPr>
        <w:t>collaborative research projects/partnerships involving AIHW with other government agencies and academic institutions</w:t>
      </w:r>
    </w:p>
    <w:p w14:paraId="33F5BC22" w14:textId="4169599E" w:rsidR="00CB17BB" w:rsidRPr="0099701E" w:rsidRDefault="00DD64DE" w:rsidP="0099701E">
      <w:pPr>
        <w:pStyle w:val="ListParagraph"/>
        <w:numPr>
          <w:ilvl w:val="0"/>
          <w:numId w:val="7"/>
        </w:numPr>
        <w:spacing w:after="120" w:line="260" w:lineRule="atLeast"/>
        <w:ind w:left="714" w:hanging="357"/>
        <w:rPr>
          <w:lang w:val="en-AU"/>
        </w:rPr>
      </w:pPr>
      <w:r>
        <w:t>amendment requests for external projects which were sought by the AIHW for the purpose of providing greater clarity or for good data governance or administrative purposes</w:t>
      </w:r>
      <w:r w:rsidR="00CB17BB" w:rsidRPr="00DD64DE">
        <w:rPr>
          <w:lang w:val="en-AU"/>
        </w:rPr>
        <w:t>.</w:t>
      </w:r>
    </w:p>
    <w:p w14:paraId="162356E1" w14:textId="28C084AF" w:rsidR="0074279E" w:rsidRDefault="00D37441" w:rsidP="00873ED3">
      <w:pPr>
        <w:spacing w:after="120" w:line="240" w:lineRule="auto"/>
      </w:pPr>
      <w:r>
        <w:t>Researchers should contact the AIHW Ethics Secretariat</w:t>
      </w:r>
      <w:r w:rsidR="00777B92">
        <w:t xml:space="preserve"> at </w:t>
      </w:r>
      <w:hyperlink r:id="rId10" w:history="1">
        <w:r w:rsidR="00777B92" w:rsidRPr="00930608">
          <w:rPr>
            <w:rStyle w:val="Hyperlink"/>
          </w:rPr>
          <w:t>ethicssec@aihw.gov.au</w:t>
        </w:r>
      </w:hyperlink>
      <w:r w:rsidR="00777B92">
        <w:t xml:space="preserve"> </w:t>
      </w:r>
      <w:r>
        <w:t xml:space="preserve">to </w:t>
      </w:r>
      <w:r w:rsidR="00777B92">
        <w:t>raise</w:t>
      </w:r>
      <w:r>
        <w:t xml:space="preserve"> the possibility of a reduced or waive</w:t>
      </w:r>
      <w:r w:rsidR="001D57BE">
        <w:t>d</w:t>
      </w:r>
      <w:r>
        <w:t xml:space="preserve"> fee for their application.</w:t>
      </w:r>
    </w:p>
    <w:p w14:paraId="64C8AA56" w14:textId="7CAEFFFE" w:rsidR="00345A96" w:rsidRDefault="003C17CA" w:rsidP="00873ED3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</w:t>
      </w:r>
      <w:r w:rsidRPr="00DF58CD">
        <w:rPr>
          <w:b/>
          <w:bCs/>
          <w:sz w:val="24"/>
          <w:szCs w:val="24"/>
        </w:rPr>
        <w:t xml:space="preserve"> </w:t>
      </w:r>
      <w:r w:rsidR="00777B92">
        <w:rPr>
          <w:b/>
          <w:bCs/>
          <w:sz w:val="24"/>
          <w:szCs w:val="24"/>
        </w:rPr>
        <w:t>c</w:t>
      </w:r>
      <w:r w:rsidR="00345A96" w:rsidRPr="00DF58CD">
        <w:rPr>
          <w:b/>
          <w:bCs/>
          <w:sz w:val="24"/>
          <w:szCs w:val="24"/>
        </w:rPr>
        <w:t>ategories</w:t>
      </w:r>
    </w:p>
    <w:p w14:paraId="5FD96B84" w14:textId="1C96ED8B" w:rsidR="003C17CA" w:rsidRPr="00DF58CD" w:rsidRDefault="003C17CA" w:rsidP="0097478F">
      <w:pPr>
        <w:spacing w:before="120" w:after="60" w:line="240" w:lineRule="auto"/>
        <w:rPr>
          <w:b/>
          <w:bCs/>
          <w:sz w:val="24"/>
          <w:szCs w:val="24"/>
        </w:rPr>
      </w:pPr>
      <w:r>
        <w:t>The application fee tiers are:</w:t>
      </w:r>
    </w:p>
    <w:p w14:paraId="013B92B7" w14:textId="77777777" w:rsidR="00D904DA" w:rsidRDefault="00345A96" w:rsidP="00873ED3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873ED3">
        <w:rPr>
          <w:i/>
        </w:rPr>
        <w:t xml:space="preserve">Complex / </w:t>
      </w:r>
      <w:r w:rsidR="00873ED3" w:rsidRPr="00873ED3">
        <w:rPr>
          <w:i/>
        </w:rPr>
        <w:t>more than low</w:t>
      </w:r>
      <w:r w:rsidRPr="00873ED3">
        <w:rPr>
          <w:i/>
        </w:rPr>
        <w:t xml:space="preserve"> risk application</w:t>
      </w:r>
      <w:r>
        <w:t xml:space="preserve">: this application type will </w:t>
      </w:r>
      <w:r w:rsidR="00D904DA">
        <w:t xml:space="preserve">have </w:t>
      </w:r>
      <w:r w:rsidR="00F3033C">
        <w:t xml:space="preserve">one or more </w:t>
      </w:r>
      <w:r w:rsidR="00D904DA">
        <w:t>of the following characteristics:</w:t>
      </w:r>
    </w:p>
    <w:p w14:paraId="6578386A" w14:textId="4695E2B9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Requiring a waiver of consent under s95 of the </w:t>
      </w:r>
      <w:r w:rsidRPr="00540454">
        <w:rPr>
          <w:i/>
        </w:rPr>
        <w:t>Privacy Act 1988</w:t>
      </w:r>
      <w:r w:rsidR="00777B92">
        <w:rPr>
          <w:i/>
        </w:rPr>
        <w:t xml:space="preserve"> </w:t>
      </w:r>
      <w:r w:rsidR="00777B92">
        <w:t>(Cth)</w:t>
      </w:r>
    </w:p>
    <w:p w14:paraId="501934B7" w14:textId="77777777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New and novel </w:t>
      </w:r>
      <w:r w:rsidR="006C3007">
        <w:t>protocol</w:t>
      </w:r>
    </w:p>
    <w:p w14:paraId="72083F99" w14:textId="77777777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>Linking of small sensitive data sets</w:t>
      </w:r>
    </w:p>
    <w:p w14:paraId="417CB8BC" w14:textId="77777777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>Complex linkages with more than one data set</w:t>
      </w:r>
    </w:p>
    <w:p w14:paraId="68C7CA5A" w14:textId="77777777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>Extended linkages over time</w:t>
      </w:r>
      <w:r w:rsidR="006C3007">
        <w:t xml:space="preserve"> (progressive addition of data)</w:t>
      </w:r>
    </w:p>
    <w:p w14:paraId="53AAD887" w14:textId="77777777" w:rsidR="00D904DA" w:rsidRDefault="00D904DA" w:rsidP="00091D5E">
      <w:pPr>
        <w:pStyle w:val="ListParagraph"/>
        <w:numPr>
          <w:ilvl w:val="1"/>
          <w:numId w:val="1"/>
        </w:numPr>
        <w:spacing w:after="120" w:line="240" w:lineRule="auto"/>
      </w:pPr>
      <w:r>
        <w:t>Projects with long time frames (10 or more years including data retention)</w:t>
      </w:r>
    </w:p>
    <w:p w14:paraId="5C419A38" w14:textId="77777777" w:rsidR="00F3033C" w:rsidRPr="00F3033C" w:rsidRDefault="00F3033C" w:rsidP="00F3033C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</w:pPr>
      <w:r w:rsidRPr="00F3033C">
        <w:t>those involving particular participant groups listed in the National Statement for Ethical Conduct in Human Research;</w:t>
      </w:r>
    </w:p>
    <w:p w14:paraId="5BC634C1" w14:textId="77777777" w:rsidR="00345A96" w:rsidRDefault="002A30AD" w:rsidP="00873ED3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rPr>
          <w:i/>
        </w:rPr>
        <w:t xml:space="preserve">Less </w:t>
      </w:r>
      <w:r w:rsidRPr="00394F43">
        <w:rPr>
          <w:i/>
        </w:rPr>
        <w:t xml:space="preserve">complicated </w:t>
      </w:r>
      <w:r w:rsidR="00345A96" w:rsidRPr="00394F43">
        <w:rPr>
          <w:i/>
        </w:rPr>
        <w:t xml:space="preserve">/ </w:t>
      </w:r>
      <w:r w:rsidR="00442B6A">
        <w:rPr>
          <w:i/>
        </w:rPr>
        <w:t xml:space="preserve">Low or </w:t>
      </w:r>
      <w:r w:rsidR="00394F43" w:rsidRPr="00394F43">
        <w:rPr>
          <w:i/>
        </w:rPr>
        <w:t>negligible risk</w:t>
      </w:r>
      <w:r w:rsidR="00345A96" w:rsidRPr="00394F43">
        <w:rPr>
          <w:i/>
        </w:rPr>
        <w:t xml:space="preserve"> application</w:t>
      </w:r>
      <w:r w:rsidR="00345A96">
        <w:t xml:space="preserve">: this application type will </w:t>
      </w:r>
      <w:r w:rsidR="00442B6A">
        <w:t>predominantly have</w:t>
      </w:r>
      <w:r w:rsidR="00D904DA">
        <w:t xml:space="preserve"> the following characteristics:</w:t>
      </w:r>
    </w:p>
    <w:p w14:paraId="5DE2A4DB" w14:textId="609FABFB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Consent </w:t>
      </w:r>
      <w:r w:rsidR="006C3007">
        <w:t>has been provided,</w:t>
      </w:r>
      <w:r>
        <w:t xml:space="preserve"> consent arrangements are in place</w:t>
      </w:r>
      <w:r w:rsidR="006C3007">
        <w:t xml:space="preserve"> or the data </w:t>
      </w:r>
      <w:r w:rsidR="00777B92">
        <w:t>are</w:t>
      </w:r>
      <w:r w:rsidR="006C3007">
        <w:t xml:space="preserve"> not reasonably identifiable</w:t>
      </w:r>
    </w:p>
    <w:p w14:paraId="5ADB501B" w14:textId="6895ADFF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lastRenderedPageBreak/>
        <w:t>Routine one</w:t>
      </w:r>
      <w:r w:rsidR="00777B92">
        <w:t>-</w:t>
      </w:r>
      <w:r>
        <w:t>time linkage to a single data set</w:t>
      </w:r>
    </w:p>
    <w:p w14:paraId="2A9D00E3" w14:textId="3628399D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</w:pPr>
      <w:r>
        <w:t>Straightforward extraction of data</w:t>
      </w:r>
      <w:r w:rsidR="00777B92">
        <w:t>,</w:t>
      </w:r>
      <w:r w:rsidR="00F3033C">
        <w:t xml:space="preserve"> and</w:t>
      </w:r>
    </w:p>
    <w:p w14:paraId="6437DF93" w14:textId="51410C77" w:rsidR="00D904DA" w:rsidRDefault="00D904DA" w:rsidP="00D904DA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</w:pPr>
      <w:r>
        <w:t>a short time frame (less than 10 years including data retention)</w:t>
      </w:r>
    </w:p>
    <w:p w14:paraId="47D22013" w14:textId="252C409D" w:rsidR="003C17CA" w:rsidRPr="003C17CA" w:rsidRDefault="003C17CA" w:rsidP="0097478F">
      <w:pPr>
        <w:spacing w:before="120" w:after="60" w:line="240" w:lineRule="auto"/>
        <w:rPr>
          <w:b/>
          <w:bCs/>
          <w:sz w:val="24"/>
          <w:szCs w:val="24"/>
        </w:rPr>
      </w:pPr>
      <w:r>
        <w:t>The amendment fee tiers are:</w:t>
      </w:r>
    </w:p>
    <w:p w14:paraId="4E8905CF" w14:textId="47882299" w:rsidR="00DA09F5" w:rsidRDefault="00394F43" w:rsidP="000F2D24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394F43">
        <w:rPr>
          <w:i/>
        </w:rPr>
        <w:t>Significant amendments</w:t>
      </w:r>
      <w:r w:rsidR="00DA09F5">
        <w:t xml:space="preserve">: this </w:t>
      </w:r>
      <w:r>
        <w:t>amendment</w:t>
      </w:r>
      <w:r w:rsidR="00DA09F5">
        <w:t xml:space="preserve"> type </w:t>
      </w:r>
      <w:r>
        <w:t xml:space="preserve">covers all amendments that are not </w:t>
      </w:r>
      <w:r w:rsidR="00777B92">
        <w:t xml:space="preserve">categorised </w:t>
      </w:r>
      <w:r>
        <w:t>as simple amendments.</w:t>
      </w:r>
    </w:p>
    <w:p w14:paraId="79B0B641" w14:textId="77777777" w:rsidR="00394F43" w:rsidRDefault="00394F43" w:rsidP="000F2D24">
      <w:pPr>
        <w:pStyle w:val="ListParagraph"/>
        <w:numPr>
          <w:ilvl w:val="0"/>
          <w:numId w:val="9"/>
        </w:numPr>
        <w:spacing w:after="120" w:line="240" w:lineRule="auto"/>
        <w:ind w:left="714" w:hanging="357"/>
      </w:pPr>
      <w:r>
        <w:rPr>
          <w:i/>
        </w:rPr>
        <w:t>Simple amendments</w:t>
      </w:r>
      <w:r w:rsidRPr="00394F43">
        <w:t>:</w:t>
      </w:r>
      <w:r>
        <w:t xml:space="preserve"> this amendment type will usually comprise:</w:t>
      </w:r>
    </w:p>
    <w:p w14:paraId="0B4CD693" w14:textId="77777777" w:rsidR="00394F43" w:rsidRDefault="00394F43" w:rsidP="000F2D24">
      <w:pPr>
        <w:pStyle w:val="ListParagraph"/>
        <w:numPr>
          <w:ilvl w:val="1"/>
          <w:numId w:val="9"/>
        </w:numPr>
        <w:spacing w:after="120" w:line="240" w:lineRule="auto"/>
      </w:pPr>
      <w:r>
        <w:t>addition, removal or substitution of project staff</w:t>
      </w:r>
    </w:p>
    <w:p w14:paraId="1DD07BBA" w14:textId="77777777" w:rsidR="00394F43" w:rsidRDefault="00394F43" w:rsidP="0097478F">
      <w:pPr>
        <w:pStyle w:val="ListParagraph"/>
        <w:numPr>
          <w:ilvl w:val="1"/>
          <w:numId w:val="9"/>
        </w:numPr>
        <w:spacing w:after="120" w:line="240" w:lineRule="auto"/>
        <w:ind w:left="1434" w:hanging="357"/>
        <w:contextualSpacing w:val="0"/>
      </w:pPr>
      <w:r>
        <w:t>extension of approved project completion dates</w:t>
      </w:r>
    </w:p>
    <w:p w14:paraId="1B144A62" w14:textId="019FEC34" w:rsidR="00345A96" w:rsidRPr="00DF58CD" w:rsidRDefault="00345A96" w:rsidP="0097478F">
      <w:pPr>
        <w:spacing w:before="240" w:after="120"/>
        <w:rPr>
          <w:b/>
          <w:bCs/>
          <w:sz w:val="24"/>
          <w:szCs w:val="24"/>
        </w:rPr>
      </w:pPr>
      <w:r w:rsidRPr="00DF58CD">
        <w:rPr>
          <w:b/>
          <w:bCs/>
          <w:sz w:val="24"/>
          <w:szCs w:val="24"/>
        </w:rPr>
        <w:t>Fee Schedule</w:t>
      </w:r>
      <w:r w:rsidR="005134DA">
        <w:rPr>
          <w:b/>
          <w:bCs/>
          <w:sz w:val="24"/>
          <w:szCs w:val="24"/>
        </w:rPr>
        <w:t xml:space="preserve"> </w:t>
      </w:r>
      <w:r w:rsidR="00777B92">
        <w:rPr>
          <w:b/>
          <w:bCs/>
          <w:sz w:val="24"/>
          <w:szCs w:val="24"/>
        </w:rPr>
        <w:t xml:space="preserve">commencing with applications </w:t>
      </w:r>
      <w:r w:rsidR="00134995">
        <w:rPr>
          <w:b/>
          <w:bCs/>
          <w:sz w:val="24"/>
          <w:szCs w:val="24"/>
        </w:rPr>
        <w:t>lodged on or after 26 February 2021</w:t>
      </w:r>
      <w:r w:rsidR="00777B92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4961"/>
        <w:gridCol w:w="1417"/>
      </w:tblGrid>
      <w:tr w:rsidR="00DF58CD" w:rsidRPr="00DF58CD" w14:paraId="193D07D4" w14:textId="77777777" w:rsidTr="00540454">
        <w:tc>
          <w:tcPr>
            <w:tcW w:w="4961" w:type="dxa"/>
          </w:tcPr>
          <w:p w14:paraId="747647B2" w14:textId="025B6AEC" w:rsidR="00DF58CD" w:rsidRPr="00DF58CD" w:rsidRDefault="003C17CA" w:rsidP="00865EFA">
            <w:pPr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Pr="00DF58CD">
              <w:rPr>
                <w:b/>
                <w:bCs/>
              </w:rPr>
              <w:t xml:space="preserve"> </w:t>
            </w:r>
            <w:r w:rsidR="00DF58CD" w:rsidRPr="00DF58CD">
              <w:rPr>
                <w:b/>
                <w:bCs/>
              </w:rPr>
              <w:t>type</w:t>
            </w:r>
          </w:p>
        </w:tc>
        <w:tc>
          <w:tcPr>
            <w:tcW w:w="1417" w:type="dxa"/>
          </w:tcPr>
          <w:p w14:paraId="78A97D68" w14:textId="664D1814" w:rsidR="00DF58CD" w:rsidRPr="00DF58CD" w:rsidRDefault="00DF58CD" w:rsidP="00DF58CD">
            <w:pPr>
              <w:jc w:val="center"/>
              <w:rPr>
                <w:b/>
                <w:bCs/>
              </w:rPr>
            </w:pPr>
            <w:r w:rsidRPr="00DF58CD">
              <w:rPr>
                <w:b/>
                <w:bCs/>
              </w:rPr>
              <w:t>Fee amount</w:t>
            </w:r>
            <w:r w:rsidR="000E56D6">
              <w:rPr>
                <w:b/>
                <w:bCs/>
              </w:rPr>
              <w:t xml:space="preserve"> (inc</w:t>
            </w:r>
            <w:r w:rsidR="00DA2DD2">
              <w:rPr>
                <w:b/>
                <w:bCs/>
              </w:rPr>
              <w:t>l.</w:t>
            </w:r>
            <w:r w:rsidR="0041418E">
              <w:rPr>
                <w:b/>
                <w:bCs/>
              </w:rPr>
              <w:t xml:space="preserve"> GST)</w:t>
            </w:r>
          </w:p>
        </w:tc>
      </w:tr>
      <w:tr w:rsidR="00DF58CD" w14:paraId="68BA7856" w14:textId="77777777" w:rsidTr="00540454">
        <w:tc>
          <w:tcPr>
            <w:tcW w:w="4961" w:type="dxa"/>
          </w:tcPr>
          <w:p w14:paraId="55620C08" w14:textId="77777777" w:rsidR="00DF58CD" w:rsidRDefault="00DF58CD" w:rsidP="0091560F">
            <w:pPr>
              <w:spacing w:before="120" w:after="120"/>
            </w:pPr>
            <w:r>
              <w:t xml:space="preserve">Complex / </w:t>
            </w:r>
            <w:r w:rsidR="005E6380">
              <w:t>more than low risk</w:t>
            </w:r>
            <w:r w:rsidR="0091560F">
              <w:t xml:space="preserve"> application</w:t>
            </w:r>
          </w:p>
        </w:tc>
        <w:tc>
          <w:tcPr>
            <w:tcW w:w="1417" w:type="dxa"/>
          </w:tcPr>
          <w:p w14:paraId="2D747BB4" w14:textId="77777777" w:rsidR="00DF58CD" w:rsidRDefault="00DF58CD" w:rsidP="006C3007">
            <w:pPr>
              <w:spacing w:before="120" w:after="120"/>
              <w:jc w:val="center"/>
            </w:pPr>
            <w:r>
              <w:t>$1</w:t>
            </w:r>
            <w:r w:rsidR="006C3007">
              <w:t>650</w:t>
            </w:r>
          </w:p>
        </w:tc>
      </w:tr>
      <w:tr w:rsidR="005E6380" w14:paraId="7ED783FC" w14:textId="77777777" w:rsidTr="00540454">
        <w:tc>
          <w:tcPr>
            <w:tcW w:w="4961" w:type="dxa"/>
          </w:tcPr>
          <w:p w14:paraId="54A7742D" w14:textId="77777777" w:rsidR="005E6380" w:rsidRDefault="002A30AD" w:rsidP="0091560F">
            <w:pPr>
              <w:spacing w:before="120" w:after="120"/>
            </w:pPr>
            <w:r>
              <w:t xml:space="preserve">Less complicated </w:t>
            </w:r>
            <w:r w:rsidR="005E6380">
              <w:t>/Low or negligible risk</w:t>
            </w:r>
            <w:r w:rsidR="0091560F">
              <w:t xml:space="preserve"> application</w:t>
            </w:r>
          </w:p>
        </w:tc>
        <w:tc>
          <w:tcPr>
            <w:tcW w:w="1417" w:type="dxa"/>
          </w:tcPr>
          <w:p w14:paraId="3720C2A2" w14:textId="77777777" w:rsidR="005E6380" w:rsidRDefault="005E6380" w:rsidP="006C3007">
            <w:pPr>
              <w:spacing w:before="120" w:after="120"/>
              <w:jc w:val="center"/>
            </w:pPr>
            <w:r>
              <w:t>$</w:t>
            </w:r>
            <w:r w:rsidR="006C3007">
              <w:t>825</w:t>
            </w:r>
          </w:p>
        </w:tc>
      </w:tr>
      <w:tr w:rsidR="005E6380" w14:paraId="25D07B7E" w14:textId="77777777" w:rsidTr="00540454">
        <w:tc>
          <w:tcPr>
            <w:tcW w:w="4961" w:type="dxa"/>
          </w:tcPr>
          <w:p w14:paraId="2CEF5129" w14:textId="77777777" w:rsidR="005E6380" w:rsidRDefault="005E6380" w:rsidP="006C3007">
            <w:pPr>
              <w:spacing w:before="120" w:after="120"/>
            </w:pPr>
            <w:r>
              <w:t xml:space="preserve">Significant </w:t>
            </w:r>
            <w:r w:rsidR="0091560F">
              <w:t>a</w:t>
            </w:r>
            <w:r w:rsidR="006C3007">
              <w:t>mendment</w:t>
            </w:r>
          </w:p>
        </w:tc>
        <w:tc>
          <w:tcPr>
            <w:tcW w:w="1417" w:type="dxa"/>
          </w:tcPr>
          <w:p w14:paraId="74095A0C" w14:textId="77777777" w:rsidR="005E6380" w:rsidRDefault="005E6380" w:rsidP="001B6A95">
            <w:pPr>
              <w:spacing w:before="120" w:after="120"/>
              <w:jc w:val="center"/>
            </w:pPr>
            <w:r>
              <w:t>$</w:t>
            </w:r>
            <w:r w:rsidR="001B6A95">
              <w:t>825</w:t>
            </w:r>
          </w:p>
        </w:tc>
      </w:tr>
      <w:tr w:rsidR="005E6380" w14:paraId="5C242FE1" w14:textId="77777777" w:rsidTr="00540454">
        <w:tc>
          <w:tcPr>
            <w:tcW w:w="4961" w:type="dxa"/>
          </w:tcPr>
          <w:p w14:paraId="4A1E5170" w14:textId="77777777" w:rsidR="005E6380" w:rsidRDefault="0091560F" w:rsidP="006C3007">
            <w:pPr>
              <w:spacing w:before="120" w:after="120"/>
            </w:pPr>
            <w:r>
              <w:t>Simple a</w:t>
            </w:r>
            <w:r w:rsidR="005E6380">
              <w:t>mendment</w:t>
            </w:r>
          </w:p>
        </w:tc>
        <w:tc>
          <w:tcPr>
            <w:tcW w:w="1417" w:type="dxa"/>
            <w:vAlign w:val="center"/>
          </w:tcPr>
          <w:p w14:paraId="0827062A" w14:textId="77777777" w:rsidR="005E6380" w:rsidRDefault="005E6380" w:rsidP="006C3007">
            <w:pPr>
              <w:spacing w:before="120" w:after="120"/>
              <w:jc w:val="center"/>
            </w:pPr>
            <w:r>
              <w:t>$0</w:t>
            </w:r>
          </w:p>
        </w:tc>
      </w:tr>
    </w:tbl>
    <w:p w14:paraId="2B0C5F34" w14:textId="03FD4467" w:rsidR="0058385A" w:rsidRPr="00F0386C" w:rsidRDefault="0058385A" w:rsidP="00F0386C">
      <w:pPr>
        <w:spacing w:after="0" w:line="240" w:lineRule="auto"/>
        <w:rPr>
          <w:sz w:val="4"/>
          <w:szCs w:val="4"/>
        </w:rPr>
      </w:pPr>
    </w:p>
    <w:sectPr w:rsidR="0058385A" w:rsidRPr="00F0386C" w:rsidSect="0097478F">
      <w:footerReference w:type="default" r:id="rId11"/>
      <w:pgSz w:w="11906" w:h="16838"/>
      <w:pgMar w:top="709" w:right="1440" w:bottom="1440" w:left="144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C7C86" w14:textId="77777777" w:rsidR="00B10082" w:rsidRDefault="00B10082" w:rsidP="00B86479">
      <w:pPr>
        <w:spacing w:after="0" w:line="240" w:lineRule="auto"/>
      </w:pPr>
      <w:r>
        <w:separator/>
      </w:r>
    </w:p>
  </w:endnote>
  <w:endnote w:type="continuationSeparator" w:id="0">
    <w:p w14:paraId="7CF48795" w14:textId="77777777" w:rsidR="00B10082" w:rsidRDefault="00B10082" w:rsidP="00B8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B67D" w14:textId="607C714B" w:rsidR="001D57BE" w:rsidRDefault="00890E58" w:rsidP="001D57BE">
    <w:pPr>
      <w:pStyle w:val="Footer"/>
    </w:pPr>
    <w:r>
      <w:t>AIHW Ethics Committee a</w:t>
    </w:r>
    <w:r w:rsidR="001D57BE">
      <w:t xml:space="preserve">pplication </w:t>
    </w:r>
    <w:r>
      <w:t>f</w:t>
    </w:r>
    <w:r w:rsidR="001D57BE">
      <w:t xml:space="preserve">ee </w:t>
    </w:r>
    <w:r>
      <w:t>s</w:t>
    </w:r>
    <w:r w:rsidR="001D57BE">
      <w:t xml:space="preserve">chedule </w:t>
    </w:r>
    <w:r>
      <w:t xml:space="preserve">commencing with applications for </w:t>
    </w:r>
    <w:r w:rsidR="006661B0">
      <w:t>May</w:t>
    </w:r>
    <w:r w:rsidR="003C17CA">
      <w:t xml:space="preserve"> 2021</w:t>
    </w:r>
    <w:r w:rsidR="001D57BE">
      <w:ptab w:relativeTo="margin" w:alignment="right" w:leader="none"/>
    </w:r>
    <w:r w:rsidR="001D57BE">
      <w:fldChar w:fldCharType="begin"/>
    </w:r>
    <w:r w:rsidR="001D57BE">
      <w:instrText xml:space="preserve"> PAGE   \* MERGEFORMAT </w:instrText>
    </w:r>
    <w:r w:rsidR="001D57BE">
      <w:fldChar w:fldCharType="separate"/>
    </w:r>
    <w:r w:rsidR="00D37210">
      <w:rPr>
        <w:noProof/>
      </w:rPr>
      <w:t>1</w:t>
    </w:r>
    <w:r w:rsidR="001D57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C45F" w14:textId="77777777" w:rsidR="00B10082" w:rsidRDefault="00B10082" w:rsidP="00B86479">
      <w:pPr>
        <w:spacing w:after="0" w:line="240" w:lineRule="auto"/>
      </w:pPr>
      <w:r>
        <w:separator/>
      </w:r>
    </w:p>
  </w:footnote>
  <w:footnote w:type="continuationSeparator" w:id="0">
    <w:p w14:paraId="349EABEB" w14:textId="77777777" w:rsidR="00B10082" w:rsidRDefault="00B10082" w:rsidP="00B8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17F"/>
    <w:multiLevelType w:val="hybridMultilevel"/>
    <w:tmpl w:val="D258272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76F2DC8"/>
    <w:multiLevelType w:val="hybridMultilevel"/>
    <w:tmpl w:val="414E9D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7158"/>
    <w:multiLevelType w:val="hybridMultilevel"/>
    <w:tmpl w:val="A7B2C294"/>
    <w:lvl w:ilvl="0" w:tplc="557E4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ED2"/>
    <w:multiLevelType w:val="hybridMultilevel"/>
    <w:tmpl w:val="F4F62D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B6B"/>
    <w:multiLevelType w:val="hybridMultilevel"/>
    <w:tmpl w:val="F4F62D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4A64"/>
    <w:multiLevelType w:val="hybridMultilevel"/>
    <w:tmpl w:val="4FFE49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7F3A"/>
    <w:multiLevelType w:val="hybridMultilevel"/>
    <w:tmpl w:val="54D4A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78A5"/>
    <w:multiLevelType w:val="hybridMultilevel"/>
    <w:tmpl w:val="54D4A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27AE5"/>
    <w:multiLevelType w:val="hybridMultilevel"/>
    <w:tmpl w:val="EB38883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5"/>
    <w:rsid w:val="0000213A"/>
    <w:rsid w:val="000824EC"/>
    <w:rsid w:val="00091D5E"/>
    <w:rsid w:val="000E56D6"/>
    <w:rsid w:val="000F0F0E"/>
    <w:rsid w:val="000F2D24"/>
    <w:rsid w:val="00125A50"/>
    <w:rsid w:val="00134995"/>
    <w:rsid w:val="00185E45"/>
    <w:rsid w:val="001B6A95"/>
    <w:rsid w:val="001D57BE"/>
    <w:rsid w:val="001D771D"/>
    <w:rsid w:val="001F1ED5"/>
    <w:rsid w:val="00233646"/>
    <w:rsid w:val="00293DE3"/>
    <w:rsid w:val="002A30AD"/>
    <w:rsid w:val="0033074B"/>
    <w:rsid w:val="00345A96"/>
    <w:rsid w:val="00394F43"/>
    <w:rsid w:val="003B2DAE"/>
    <w:rsid w:val="003B3CB7"/>
    <w:rsid w:val="003B53B5"/>
    <w:rsid w:val="003C17CA"/>
    <w:rsid w:val="004036E9"/>
    <w:rsid w:val="0041418E"/>
    <w:rsid w:val="00416345"/>
    <w:rsid w:val="00442B6A"/>
    <w:rsid w:val="005134DA"/>
    <w:rsid w:val="00540454"/>
    <w:rsid w:val="0058193B"/>
    <w:rsid w:val="0058385A"/>
    <w:rsid w:val="005B2D94"/>
    <w:rsid w:val="005B4839"/>
    <w:rsid w:val="005D364F"/>
    <w:rsid w:val="005E6380"/>
    <w:rsid w:val="00652C0E"/>
    <w:rsid w:val="00657A3F"/>
    <w:rsid w:val="006661B0"/>
    <w:rsid w:val="006907B3"/>
    <w:rsid w:val="006923DF"/>
    <w:rsid w:val="006C27E0"/>
    <w:rsid w:val="006C3007"/>
    <w:rsid w:val="006D37C3"/>
    <w:rsid w:val="00717208"/>
    <w:rsid w:val="0074279E"/>
    <w:rsid w:val="00753585"/>
    <w:rsid w:val="00777B92"/>
    <w:rsid w:val="00777C6A"/>
    <w:rsid w:val="00797F64"/>
    <w:rsid w:val="007C394D"/>
    <w:rsid w:val="00860B76"/>
    <w:rsid w:val="00865EFA"/>
    <w:rsid w:val="00873ED3"/>
    <w:rsid w:val="00890E58"/>
    <w:rsid w:val="008C5B8F"/>
    <w:rsid w:val="008D267C"/>
    <w:rsid w:val="008D330A"/>
    <w:rsid w:val="008D6D18"/>
    <w:rsid w:val="0091560F"/>
    <w:rsid w:val="00921B55"/>
    <w:rsid w:val="0097478F"/>
    <w:rsid w:val="00985AEF"/>
    <w:rsid w:val="0099701E"/>
    <w:rsid w:val="009B0ED2"/>
    <w:rsid w:val="009C0922"/>
    <w:rsid w:val="009C4C6F"/>
    <w:rsid w:val="009E23A7"/>
    <w:rsid w:val="00A1715D"/>
    <w:rsid w:val="00A92353"/>
    <w:rsid w:val="00AE136F"/>
    <w:rsid w:val="00B05918"/>
    <w:rsid w:val="00B10082"/>
    <w:rsid w:val="00B86479"/>
    <w:rsid w:val="00BE207B"/>
    <w:rsid w:val="00BE5266"/>
    <w:rsid w:val="00C77180"/>
    <w:rsid w:val="00CA6C69"/>
    <w:rsid w:val="00CB17BB"/>
    <w:rsid w:val="00CC5352"/>
    <w:rsid w:val="00D16A96"/>
    <w:rsid w:val="00D37210"/>
    <w:rsid w:val="00D37441"/>
    <w:rsid w:val="00D51C6A"/>
    <w:rsid w:val="00D77E5D"/>
    <w:rsid w:val="00D904DA"/>
    <w:rsid w:val="00D976E3"/>
    <w:rsid w:val="00DA09F5"/>
    <w:rsid w:val="00DA2DD2"/>
    <w:rsid w:val="00DA332D"/>
    <w:rsid w:val="00DA5245"/>
    <w:rsid w:val="00DD64DE"/>
    <w:rsid w:val="00DF09EB"/>
    <w:rsid w:val="00DF58CD"/>
    <w:rsid w:val="00DF6DB3"/>
    <w:rsid w:val="00E52650"/>
    <w:rsid w:val="00E978A9"/>
    <w:rsid w:val="00F0386C"/>
    <w:rsid w:val="00F3033C"/>
    <w:rsid w:val="00F32F75"/>
    <w:rsid w:val="00F3684C"/>
    <w:rsid w:val="00F42A27"/>
    <w:rsid w:val="00F931FA"/>
    <w:rsid w:val="00FB6998"/>
    <w:rsid w:val="00FB7930"/>
    <w:rsid w:val="00FB79D8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D0A5E5"/>
  <w15:chartTrackingRefBased/>
  <w15:docId w15:val="{47F594DB-19A6-4BE1-87DA-A33FEED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45A96"/>
    <w:pPr>
      <w:ind w:left="720"/>
      <w:contextualSpacing/>
    </w:pPr>
  </w:style>
  <w:style w:type="table" w:styleId="TableGrid">
    <w:name w:val="Table Grid"/>
    <w:basedOn w:val="TableNormal"/>
    <w:uiPriority w:val="59"/>
    <w:rsid w:val="00DF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7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w.gov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hicssec@aih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32A5-DE73-4193-B1A8-4B190B4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Wilcox</dc:creator>
  <cp:keywords/>
  <dc:description/>
  <cp:lastModifiedBy>Berry, Gayle</cp:lastModifiedBy>
  <cp:revision>2</cp:revision>
  <cp:lastPrinted>2020-10-18T22:27:00Z</cp:lastPrinted>
  <dcterms:created xsi:type="dcterms:W3CDTF">2021-01-12T23:29:00Z</dcterms:created>
  <dcterms:modified xsi:type="dcterms:W3CDTF">2021-01-12T23:29:00Z</dcterms:modified>
</cp:coreProperties>
</file>