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BDBB7" w14:textId="4336EF75" w:rsidR="00755B71" w:rsidRDefault="00755B71" w:rsidP="00755B71">
      <w:pPr>
        <w:pStyle w:val="Heading3"/>
        <w:jc w:val="center"/>
      </w:pPr>
      <w:bookmarkStart w:id="0" w:name="_Hlk95470231"/>
      <w:r>
        <w:t xml:space="preserve">National </w:t>
      </w:r>
      <w:r w:rsidR="0059714D">
        <w:t>Housing</w:t>
      </w:r>
      <w:r>
        <w:t xml:space="preserve"> and Homelessness Agreement</w:t>
      </w:r>
    </w:p>
    <w:p w14:paraId="26C3EBC5" w14:textId="262D2D13" w:rsidR="006C04CC" w:rsidRPr="006C04CC" w:rsidRDefault="006C04CC" w:rsidP="00755B71">
      <w:pPr>
        <w:pStyle w:val="Heading3"/>
        <w:jc w:val="center"/>
        <w:rPr>
          <w:sz w:val="24"/>
        </w:rPr>
      </w:pPr>
      <w:r>
        <w:t>Indicator (</w:t>
      </w:r>
      <w:proofErr w:type="spellStart"/>
      <w:r>
        <w:t>i</w:t>
      </w:r>
      <w:proofErr w:type="spellEnd"/>
      <w:r>
        <w:t>) - Supplementary technical document</w:t>
      </w:r>
    </w:p>
    <w:bookmarkEnd w:id="0"/>
    <w:p w14:paraId="3F83B381" w14:textId="77777777" w:rsidR="00755B71" w:rsidRDefault="00755B71" w:rsidP="00E404C6">
      <w:pPr>
        <w:pStyle w:val="AIHWbodytext"/>
        <w:rPr>
          <w:lang w:eastAsia="en-AU"/>
        </w:rPr>
      </w:pPr>
    </w:p>
    <w:p w14:paraId="21295FE8" w14:textId="40857316" w:rsidR="006C04CC" w:rsidRDefault="006C04CC" w:rsidP="00E404C6">
      <w:pPr>
        <w:pStyle w:val="AIHWbodytext"/>
        <w:rPr>
          <w:i/>
          <w:iCs/>
          <w:sz w:val="24"/>
        </w:rPr>
      </w:pPr>
      <w:r>
        <w:rPr>
          <w:lang w:eastAsia="en-AU"/>
        </w:rPr>
        <w:t xml:space="preserve">This document is designed to assist in the </w:t>
      </w:r>
      <w:r w:rsidR="00745D4D">
        <w:rPr>
          <w:lang w:eastAsia="en-AU"/>
        </w:rPr>
        <w:t xml:space="preserve">understanding of the </w:t>
      </w:r>
      <w:r>
        <w:rPr>
          <w:lang w:eastAsia="en-AU"/>
        </w:rPr>
        <w:t>calculation of Indicator (</w:t>
      </w:r>
      <w:proofErr w:type="spellStart"/>
      <w:r>
        <w:rPr>
          <w:lang w:eastAsia="en-AU"/>
        </w:rPr>
        <w:t>i</w:t>
      </w:r>
      <w:proofErr w:type="spellEnd"/>
      <w:r>
        <w:rPr>
          <w:lang w:eastAsia="en-AU"/>
        </w:rPr>
        <w:t xml:space="preserve">) – </w:t>
      </w:r>
      <w:r w:rsidRPr="006C04CC">
        <w:rPr>
          <w:i/>
          <w:iCs/>
          <w:lang w:eastAsia="en-AU"/>
        </w:rPr>
        <w:t>A</w:t>
      </w:r>
      <w:r w:rsidR="006D18E3">
        <w:rPr>
          <w:i/>
          <w:iCs/>
          <w:lang w:eastAsia="en-AU"/>
        </w:rPr>
        <w:t>n</w:t>
      </w:r>
      <w:r w:rsidRPr="006C04CC">
        <w:rPr>
          <w:i/>
          <w:iCs/>
          <w:sz w:val="24"/>
        </w:rPr>
        <w:t xml:space="preserve"> </w:t>
      </w:r>
      <w:r w:rsidR="006D18E3">
        <w:rPr>
          <w:i/>
          <w:iCs/>
          <w:sz w:val="24"/>
        </w:rPr>
        <w:t>increase</w:t>
      </w:r>
      <w:r w:rsidRPr="006C04CC">
        <w:rPr>
          <w:i/>
          <w:iCs/>
          <w:sz w:val="24"/>
        </w:rPr>
        <w:t xml:space="preserve"> in the proportion of people who were at risk that receive assistance to avoid homelessness.</w:t>
      </w:r>
      <w:r w:rsidR="004272DC">
        <w:rPr>
          <w:i/>
          <w:iCs/>
          <w:sz w:val="24"/>
        </w:rPr>
        <w:t xml:space="preserve"> </w:t>
      </w:r>
    </w:p>
    <w:p w14:paraId="6F705531" w14:textId="77777777" w:rsidR="00922558" w:rsidRPr="00922558" w:rsidRDefault="00922558" w:rsidP="00E404C6">
      <w:pPr>
        <w:pStyle w:val="AIHWbodytext"/>
        <w:rPr>
          <w:sz w:val="24"/>
        </w:rPr>
      </w:pPr>
    </w:p>
    <w:p w14:paraId="1804F55C" w14:textId="7A26D2B1" w:rsidR="006C04CC" w:rsidRPr="00F776C8" w:rsidRDefault="006C04CC" w:rsidP="009815AA">
      <w:pPr>
        <w:pStyle w:val="AIHWbodytext"/>
        <w:numPr>
          <w:ilvl w:val="0"/>
          <w:numId w:val="30"/>
        </w:numPr>
        <w:ind w:left="360"/>
        <w:rPr>
          <w:lang w:eastAsia="en-AU"/>
        </w:rPr>
      </w:pPr>
      <w:proofErr w:type="spellStart"/>
      <w:r w:rsidRPr="00D72C04">
        <w:rPr>
          <w:b/>
          <w:bCs/>
          <w:lang w:eastAsia="en-AU"/>
        </w:rPr>
        <w:t>METeOR</w:t>
      </w:r>
      <w:proofErr w:type="spellEnd"/>
      <w:r w:rsidRPr="00D72C04">
        <w:rPr>
          <w:b/>
          <w:bCs/>
          <w:lang w:eastAsia="en-AU"/>
        </w:rPr>
        <w:t xml:space="preserve"> specification</w:t>
      </w:r>
      <w:r w:rsidR="009F651A">
        <w:rPr>
          <w:b/>
          <w:bCs/>
          <w:lang w:eastAsia="en-AU"/>
        </w:rPr>
        <w:t>s</w:t>
      </w:r>
    </w:p>
    <w:p w14:paraId="20D43C77" w14:textId="6257B065" w:rsidR="00F776C8" w:rsidRPr="00520000" w:rsidRDefault="00520000" w:rsidP="009815AA">
      <w:pPr>
        <w:pStyle w:val="AIHWbodytext"/>
        <w:numPr>
          <w:ilvl w:val="0"/>
          <w:numId w:val="30"/>
        </w:numPr>
        <w:ind w:left="360"/>
        <w:rPr>
          <w:lang w:eastAsia="en-AU"/>
        </w:rPr>
      </w:pPr>
      <w:r>
        <w:rPr>
          <w:b/>
          <w:bCs/>
          <w:lang w:eastAsia="en-AU"/>
        </w:rPr>
        <w:t>Logic diagrams</w:t>
      </w:r>
    </w:p>
    <w:p w14:paraId="5916EBC8" w14:textId="1BBF7897" w:rsidR="00520000" w:rsidRPr="00520000" w:rsidRDefault="00520000" w:rsidP="009815AA">
      <w:pPr>
        <w:pStyle w:val="AIHWbodytext"/>
        <w:numPr>
          <w:ilvl w:val="0"/>
          <w:numId w:val="30"/>
        </w:numPr>
        <w:ind w:left="360"/>
        <w:rPr>
          <w:lang w:eastAsia="en-AU"/>
        </w:rPr>
      </w:pPr>
      <w:r>
        <w:rPr>
          <w:b/>
          <w:bCs/>
          <w:lang w:eastAsia="en-AU"/>
        </w:rPr>
        <w:t xml:space="preserve">State/territory </w:t>
      </w:r>
      <w:r w:rsidR="009F651A">
        <w:rPr>
          <w:b/>
          <w:bCs/>
          <w:lang w:eastAsia="en-AU"/>
        </w:rPr>
        <w:t>counting rules</w:t>
      </w:r>
      <w:r w:rsidR="004F4EDB">
        <w:rPr>
          <w:b/>
          <w:bCs/>
          <w:lang w:eastAsia="en-AU"/>
        </w:rPr>
        <w:t xml:space="preserve"> for the client-level</w:t>
      </w:r>
    </w:p>
    <w:p w14:paraId="1EBD4163" w14:textId="77777777" w:rsidR="0059714D" w:rsidRDefault="0059714D" w:rsidP="00520000">
      <w:pPr>
        <w:pStyle w:val="AIHWbodytext"/>
        <w:ind w:left="360"/>
        <w:rPr>
          <w:b/>
          <w:bCs/>
          <w:lang w:eastAsia="en-AU"/>
        </w:rPr>
      </w:pPr>
    </w:p>
    <w:p w14:paraId="73BF624C" w14:textId="6A3F701F" w:rsidR="0059714D" w:rsidRDefault="0059714D" w:rsidP="00520000">
      <w:pPr>
        <w:pStyle w:val="AIHWbodytext"/>
        <w:ind w:left="360"/>
        <w:rPr>
          <w:b/>
          <w:bCs/>
          <w:lang w:eastAsia="en-AU"/>
        </w:rPr>
        <w:sectPr w:rsidR="0059714D" w:rsidSect="00FB7630">
          <w:headerReference w:type="default" r:id="rId8"/>
          <w:footerReference w:type="even" r:id="rId9"/>
          <w:footerReference w:type="default" r:id="rId10"/>
          <w:headerReference w:type="first" r:id="rId11"/>
          <w:footerReference w:type="first" r:id="rId12"/>
          <w:type w:val="oddPage"/>
          <w:pgSz w:w="11906" w:h="16838" w:code="9"/>
          <w:pgMar w:top="1418" w:right="1418" w:bottom="1134" w:left="1418" w:header="964" w:footer="0" w:gutter="0"/>
          <w:pgNumType w:start="1"/>
          <w:cols w:space="708"/>
          <w:titlePg/>
          <w:docGrid w:linePitch="360"/>
        </w:sectPr>
      </w:pPr>
    </w:p>
    <w:p w14:paraId="2FCE5BCF" w14:textId="0DEB5301" w:rsidR="00520000" w:rsidRPr="00520000" w:rsidRDefault="00520000" w:rsidP="0059714D">
      <w:pPr>
        <w:pStyle w:val="Heading4"/>
        <w:numPr>
          <w:ilvl w:val="0"/>
          <w:numId w:val="38"/>
        </w:numPr>
      </w:pPr>
      <w:proofErr w:type="spellStart"/>
      <w:r>
        <w:lastRenderedPageBreak/>
        <w:t>METeOR</w:t>
      </w:r>
      <w:proofErr w:type="spellEnd"/>
      <w:r>
        <w:t xml:space="preserve"> specification</w:t>
      </w:r>
      <w:r w:rsidR="009F651A">
        <w:t>s</w:t>
      </w:r>
    </w:p>
    <w:p w14:paraId="239EBB4D" w14:textId="74695D63" w:rsidR="009815AA" w:rsidRDefault="009815AA" w:rsidP="009815AA">
      <w:pPr>
        <w:pBdr>
          <w:top w:val="single" w:sz="18" w:space="1" w:color="auto"/>
          <w:bottom w:val="single" w:sz="18" w:space="1" w:color="auto"/>
        </w:pBdr>
        <w:spacing w:before="40" w:after="40" w:line="240" w:lineRule="auto"/>
        <w:rPr>
          <w:b/>
          <w:sz w:val="32"/>
          <w:szCs w:val="20"/>
        </w:rPr>
      </w:pPr>
      <w:bookmarkStart w:id="1" w:name="750317_National_Performance_Indicators_f"/>
      <w:r w:rsidRPr="009815AA">
        <w:rPr>
          <w:b/>
          <w:sz w:val="32"/>
          <w:szCs w:val="20"/>
        </w:rPr>
        <w:t>National Performance Indicators for the National Housing and Homelessness Agreement – The proportion of people who are at risk of homelessness that receive assistance to avoid homelessness, (Client level), 2021</w:t>
      </w:r>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6370"/>
      </w:tblGrid>
      <w:tr w:rsidR="00696CF0" w14:paraId="5953AB4A" w14:textId="77777777" w:rsidTr="00A520B9">
        <w:tc>
          <w:tcPr>
            <w:tcW w:w="0" w:type="auto"/>
            <w:gridSpan w:val="2"/>
          </w:tcPr>
          <w:p w14:paraId="5C343149" w14:textId="77777777" w:rsidR="00696CF0" w:rsidRDefault="00696CF0" w:rsidP="00A520B9">
            <w:pPr>
              <w:pStyle w:val="Heading4"/>
              <w:outlineLvl w:val="3"/>
            </w:pPr>
            <w:r>
              <w:t>Identifying and definitional attributes</w:t>
            </w:r>
          </w:p>
        </w:tc>
      </w:tr>
      <w:tr w:rsidR="00696CF0" w14:paraId="612E6668" w14:textId="77777777" w:rsidTr="00A520B9">
        <w:tc>
          <w:tcPr>
            <w:tcW w:w="2700" w:type="dxa"/>
          </w:tcPr>
          <w:p w14:paraId="79DF13B1" w14:textId="77777777" w:rsidR="00696CF0" w:rsidRDefault="00696CF0" w:rsidP="00A520B9">
            <w:r>
              <w:rPr>
                <w:rStyle w:val="row-heading"/>
              </w:rPr>
              <w:t>Metadata item type:</w:t>
            </w:r>
          </w:p>
        </w:tc>
        <w:tc>
          <w:tcPr>
            <w:tcW w:w="0" w:type="auto"/>
          </w:tcPr>
          <w:p w14:paraId="7E035705" w14:textId="77777777" w:rsidR="00696CF0" w:rsidRDefault="00696CF0" w:rsidP="00A520B9">
            <w:r>
              <w:t>Indicator</w:t>
            </w:r>
          </w:p>
        </w:tc>
      </w:tr>
      <w:tr w:rsidR="00696CF0" w14:paraId="17E5F369" w14:textId="77777777" w:rsidTr="00A520B9">
        <w:tc>
          <w:tcPr>
            <w:tcW w:w="2700" w:type="dxa"/>
          </w:tcPr>
          <w:p w14:paraId="4C1B8CE8" w14:textId="77777777" w:rsidR="00696CF0" w:rsidRDefault="00696CF0" w:rsidP="00A520B9">
            <w:r>
              <w:rPr>
                <w:rStyle w:val="row-heading"/>
              </w:rPr>
              <w:t>Indicator type:</w:t>
            </w:r>
          </w:p>
        </w:tc>
        <w:tc>
          <w:tcPr>
            <w:tcW w:w="0" w:type="auto"/>
          </w:tcPr>
          <w:p w14:paraId="57F9740D" w14:textId="77777777" w:rsidR="00696CF0" w:rsidRDefault="00696CF0" w:rsidP="00A520B9">
            <w:r>
              <w:t>Indicator</w:t>
            </w:r>
          </w:p>
        </w:tc>
      </w:tr>
      <w:tr w:rsidR="00696CF0" w14:paraId="759F5631" w14:textId="77777777" w:rsidTr="00A520B9">
        <w:tc>
          <w:tcPr>
            <w:tcW w:w="2700" w:type="dxa"/>
          </w:tcPr>
          <w:p w14:paraId="6BB7D111" w14:textId="77777777" w:rsidR="00696CF0" w:rsidRDefault="00696CF0" w:rsidP="00A520B9">
            <w:r>
              <w:rPr>
                <w:rStyle w:val="row-heading"/>
              </w:rPr>
              <w:t>Short name:</w:t>
            </w:r>
          </w:p>
        </w:tc>
        <w:tc>
          <w:tcPr>
            <w:tcW w:w="0" w:type="auto"/>
          </w:tcPr>
          <w:p w14:paraId="05DC75C9" w14:textId="77777777" w:rsidR="00696CF0" w:rsidRDefault="00696CF0" w:rsidP="00A520B9">
            <w:r>
              <w:t>NPI NHHA: At risk people that receive assistance to avoid homelessness (Client level).</w:t>
            </w:r>
          </w:p>
        </w:tc>
      </w:tr>
      <w:tr w:rsidR="00696CF0" w14:paraId="57F31C32" w14:textId="77777777" w:rsidTr="00A520B9">
        <w:tc>
          <w:tcPr>
            <w:tcW w:w="2700" w:type="dxa"/>
          </w:tcPr>
          <w:p w14:paraId="7CBA7C26" w14:textId="77777777" w:rsidR="00696CF0" w:rsidRDefault="00696CF0" w:rsidP="00A520B9">
            <w:r>
              <w:rPr>
                <w:rStyle w:val="row-heading"/>
              </w:rPr>
              <w:t>METEOR identifier:</w:t>
            </w:r>
          </w:p>
        </w:tc>
        <w:tc>
          <w:tcPr>
            <w:tcW w:w="0" w:type="auto"/>
          </w:tcPr>
          <w:p w14:paraId="1939C2CE" w14:textId="77777777" w:rsidR="00696CF0" w:rsidRDefault="00696CF0" w:rsidP="00A520B9">
            <w:r>
              <w:t>750317</w:t>
            </w:r>
          </w:p>
        </w:tc>
      </w:tr>
      <w:tr w:rsidR="00696CF0" w14:paraId="10AD6427" w14:textId="77777777" w:rsidTr="00A520B9">
        <w:tc>
          <w:tcPr>
            <w:tcW w:w="2700" w:type="dxa"/>
          </w:tcPr>
          <w:p w14:paraId="248D8F52" w14:textId="77777777" w:rsidR="00696CF0" w:rsidRDefault="00696CF0" w:rsidP="00A520B9">
            <w:r>
              <w:rPr>
                <w:rStyle w:val="row-heading"/>
              </w:rPr>
              <w:t>Registration status:</w:t>
            </w:r>
          </w:p>
        </w:tc>
        <w:tc>
          <w:tcPr>
            <w:tcW w:w="0" w:type="auto"/>
          </w:tcPr>
          <w:p w14:paraId="65BFF881" w14:textId="77777777" w:rsidR="00696CF0" w:rsidRDefault="00696CF0" w:rsidP="00696CF0">
            <w:pPr>
              <w:numPr>
                <w:ilvl w:val="0"/>
                <w:numId w:val="39"/>
              </w:numPr>
              <w:spacing w:before="0" w:after="0" w:line="240" w:lineRule="auto"/>
            </w:pPr>
            <w:r>
              <w:rPr>
                <w:i/>
              </w:rPr>
              <w:t>No registration status</w:t>
            </w:r>
          </w:p>
        </w:tc>
      </w:tr>
      <w:tr w:rsidR="00C160EB" w14:paraId="4F4F5CCD" w14:textId="77777777" w:rsidTr="00A520B9">
        <w:tc>
          <w:tcPr>
            <w:tcW w:w="2700" w:type="dxa"/>
          </w:tcPr>
          <w:p w14:paraId="66E7E63C" w14:textId="77777777" w:rsidR="00C160EB" w:rsidRDefault="00C160EB" w:rsidP="00C160EB">
            <w:r>
              <w:rPr>
                <w:rStyle w:val="row-heading"/>
              </w:rPr>
              <w:t>Description:</w:t>
            </w:r>
          </w:p>
        </w:tc>
        <w:tc>
          <w:tcPr>
            <w:tcW w:w="0" w:type="auto"/>
          </w:tcPr>
          <w:p w14:paraId="6978833B" w14:textId="5B31BD1B" w:rsidR="00C160EB" w:rsidRDefault="00C160EB" w:rsidP="00C160EB">
            <w:r>
              <w:t xml:space="preserve">The proportion of </w:t>
            </w:r>
            <w:hyperlink r:id="rId13" w:tooltip="In the specialist homelessness services NMDS, a client is a person who receives a specialist homelessness service.&#10;" w:history="1">
              <w:r>
                <w:rPr>
                  <w:rStyle w:val="Hyperlink"/>
                  <w:b/>
                </w:rPr>
                <w:t xml:space="preserve">clients </w:t>
              </w:r>
            </w:hyperlink>
            <w:r>
              <w:t xml:space="preserve">who are at </w:t>
            </w:r>
            <w:hyperlink r:id="rId14" w:tooltip="All clients of specialist homelessness services are considered to be either homeless or at risk of homelessness. Homelessness and at-risk status is determined by the specific criteria described below using three aspects of a client’s housing situation:..." w:history="1">
              <w:r>
                <w:rPr>
                  <w:rStyle w:val="Hyperlink"/>
                  <w:b/>
                </w:rPr>
                <w:t xml:space="preserve">risk </w:t>
              </w:r>
            </w:hyperlink>
            <w:r>
              <w:t xml:space="preserve">of </w:t>
            </w:r>
            <w:hyperlink r:id="rId15" w:tooltip="A person is homeless if he or she does not have access to safe, secure and stable housing. Hence even if a person has a physical home, they would be considered homeless if:&#10;they were not safe at home,&#10;they had no legal right to continued occupation of..." w:history="1">
              <w:r>
                <w:rPr>
                  <w:rStyle w:val="Hyperlink"/>
                  <w:b/>
                </w:rPr>
                <w:t xml:space="preserve">homelessness </w:t>
              </w:r>
            </w:hyperlink>
            <w:r>
              <w:t xml:space="preserve">that receive </w:t>
            </w:r>
            <w:hyperlink r:id="rId16" w:tooltip="A specialist homelessness service is assistance provided by a specialist homelessness agency to a client aimed at responding to or preventing homelessness." w:history="1">
              <w:r>
                <w:rPr>
                  <w:rStyle w:val="Hyperlink"/>
                  <w:b/>
                </w:rPr>
                <w:t xml:space="preserve">assistance </w:t>
              </w:r>
            </w:hyperlink>
            <w:r>
              <w:t>to avoid homelessness.</w:t>
            </w:r>
          </w:p>
        </w:tc>
      </w:tr>
      <w:tr w:rsidR="00C160EB" w14:paraId="65E2A1EA" w14:textId="77777777" w:rsidTr="00A520B9">
        <w:tc>
          <w:tcPr>
            <w:tcW w:w="2700" w:type="dxa"/>
          </w:tcPr>
          <w:p w14:paraId="32A813AB" w14:textId="77777777" w:rsidR="00C160EB" w:rsidRDefault="00C160EB" w:rsidP="00C160EB">
            <w:r>
              <w:rPr>
                <w:rStyle w:val="row-heading"/>
              </w:rPr>
              <w:t>Rationale:</w:t>
            </w:r>
          </w:p>
        </w:tc>
        <w:tc>
          <w:tcPr>
            <w:tcW w:w="0" w:type="auto"/>
          </w:tcPr>
          <w:p w14:paraId="1177D64B" w14:textId="77777777" w:rsidR="00C160EB" w:rsidRDefault="00C160EB" w:rsidP="00C160EB">
            <w:r>
              <w:t xml:space="preserve">The National Housing and Homelessness Agreement (NHHA), which commenced in 2018, funds homelessness services with the objective of improving access to affordable, </w:t>
            </w:r>
            <w:proofErr w:type="gramStart"/>
            <w:r>
              <w:t>safe</w:t>
            </w:r>
            <w:proofErr w:type="gramEnd"/>
            <w:r>
              <w:t xml:space="preserve"> and sustainable housing across the housing spectrum from crisis housing to home ownership, including to prevent and address homelessness, and to support social and economic participation. The NHHA specifies the National Performance Indicators that assess and monitor the efficacy of homelessness services. There is a range of homelessness services across Australia; however, this indicator specification measures only those services delivered by SHS.</w:t>
            </w:r>
          </w:p>
          <w:p w14:paraId="3D64C4FA" w14:textId="77777777" w:rsidR="00C160EB" w:rsidRDefault="00C160EB" w:rsidP="00C160EB">
            <w:r>
              <w:t xml:space="preserve">The </w:t>
            </w:r>
            <w:proofErr w:type="gramStart"/>
            <w:r>
              <w:t>Indicator</w:t>
            </w:r>
            <w:proofErr w:type="gramEnd"/>
            <w:r>
              <w:t xml:space="preserve"> is calculated annually for each financial year.</w:t>
            </w:r>
          </w:p>
          <w:p w14:paraId="1A08FD1B" w14:textId="5DE57A78" w:rsidR="00C160EB" w:rsidRDefault="00C160EB" w:rsidP="00C160EB">
            <w:r>
              <w:t>This indicator measures performance from the perspective of a client, by examining outcomes for clients at risk of homelessness who avoided homelessness after receiving Specialist Homelessness Services (SHS).</w:t>
            </w:r>
          </w:p>
        </w:tc>
      </w:tr>
      <w:tr w:rsidR="00C160EB" w14:paraId="6EE7EBCA" w14:textId="77777777" w:rsidTr="00A520B9">
        <w:tc>
          <w:tcPr>
            <w:tcW w:w="2700" w:type="dxa"/>
          </w:tcPr>
          <w:p w14:paraId="426A752F" w14:textId="77777777" w:rsidR="00C160EB" w:rsidRDefault="00C160EB" w:rsidP="00C160EB">
            <w:r>
              <w:rPr>
                <w:rStyle w:val="row-heading"/>
              </w:rPr>
              <w:t>Indicator set:</w:t>
            </w:r>
          </w:p>
        </w:tc>
        <w:tc>
          <w:tcPr>
            <w:tcW w:w="0" w:type="auto"/>
          </w:tcPr>
          <w:p w14:paraId="091E6A7D" w14:textId="33A93970" w:rsidR="00C160EB" w:rsidRDefault="00761F8E" w:rsidP="00C160EB">
            <w:hyperlink r:id="rId17" w:history="1">
              <w:r w:rsidR="00C160EB">
                <w:rPr>
                  <w:rStyle w:val="Hyperlink"/>
                </w:rPr>
                <w:t>National Performance Indicators for the National Housing and Homelessness Agreement (2021)</w:t>
              </w:r>
            </w:hyperlink>
          </w:p>
        </w:tc>
      </w:tr>
      <w:tr w:rsidR="00C160EB" w14:paraId="03BFB9FE" w14:textId="77777777" w:rsidTr="00A520B9">
        <w:tc>
          <w:tcPr>
            <w:tcW w:w="2700" w:type="dxa"/>
          </w:tcPr>
          <w:p w14:paraId="524D8EEE" w14:textId="77777777" w:rsidR="00C160EB" w:rsidRDefault="00C160EB" w:rsidP="00C160EB">
            <w:r>
              <w:rPr>
                <w:rStyle w:val="row-heading"/>
              </w:rPr>
              <w:t>Quality statement:</w:t>
            </w:r>
          </w:p>
        </w:tc>
        <w:tc>
          <w:tcPr>
            <w:tcW w:w="0" w:type="auto"/>
          </w:tcPr>
          <w:p w14:paraId="047125B1" w14:textId="5D43317C" w:rsidR="00C160EB" w:rsidRDefault="00761F8E" w:rsidP="00C160EB">
            <w:hyperlink r:id="rId18" w:history="1">
              <w:r w:rsidR="00C160EB">
                <w:rPr>
                  <w:rStyle w:val="Hyperlink"/>
                </w:rPr>
                <w:t>Specialist Homelessness Services Collection, 2019–20; Quality Statement</w:t>
              </w:r>
            </w:hyperlink>
            <w:r w:rsidR="00C160EB">
              <w:t xml:space="preserve"> AIHW Data Quality Statements, Superseded 23/11/2021</w:t>
            </w:r>
          </w:p>
        </w:tc>
      </w:tr>
    </w:tbl>
    <w:tbl>
      <w:tblPr>
        <w:tblStyle w:val="TableGrid10"/>
        <w:tblW w:w="91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6480"/>
      </w:tblGrid>
      <w:tr w:rsidR="00696CF0" w14:paraId="1A9C2FFC" w14:textId="77777777" w:rsidTr="001C3FAD">
        <w:tc>
          <w:tcPr>
            <w:tcW w:w="9180" w:type="dxa"/>
            <w:gridSpan w:val="2"/>
          </w:tcPr>
          <w:p w14:paraId="2D6519D1" w14:textId="77777777" w:rsidR="00696CF0" w:rsidRDefault="00696CF0" w:rsidP="00A520B9">
            <w:pPr>
              <w:pStyle w:val="Heading4"/>
              <w:outlineLvl w:val="3"/>
            </w:pPr>
            <w:r>
              <w:t>Collection and usage attributes</w:t>
            </w:r>
          </w:p>
        </w:tc>
      </w:tr>
      <w:tr w:rsidR="00696CF0" w14:paraId="7FB5874F" w14:textId="77777777" w:rsidTr="001C3FAD">
        <w:tc>
          <w:tcPr>
            <w:tcW w:w="2700" w:type="dxa"/>
          </w:tcPr>
          <w:p w14:paraId="74E98DD7" w14:textId="77777777" w:rsidR="00696CF0" w:rsidRDefault="00696CF0" w:rsidP="00A520B9">
            <w:r>
              <w:rPr>
                <w:rStyle w:val="row-heading"/>
              </w:rPr>
              <w:t>Computation description:</w:t>
            </w:r>
          </w:p>
        </w:tc>
        <w:tc>
          <w:tcPr>
            <w:tcW w:w="6480" w:type="dxa"/>
          </w:tcPr>
          <w:p w14:paraId="3EF37342" w14:textId="77777777" w:rsidR="00696CF0" w:rsidRDefault="00696CF0" w:rsidP="00A520B9">
            <w:r>
              <w:rPr>
                <w:b/>
              </w:rPr>
              <w:t>Coverage/Scope</w:t>
            </w:r>
          </w:p>
          <w:p w14:paraId="6A7B145E" w14:textId="77777777" w:rsidR="00C160EB" w:rsidRDefault="00C160EB" w:rsidP="00C160EB">
            <w:r>
              <w:t xml:space="preserve">The indicator is derived from support periods; the </w:t>
            </w:r>
            <w:proofErr w:type="gramStart"/>
            <w:r>
              <w:t>period of time</w:t>
            </w:r>
            <w:proofErr w:type="gramEnd"/>
            <w:r>
              <w:t xml:space="preserve"> during which a client is receiving SHS support. Within each support period, agencies collect client information that allows for the derivation of homeless status at numerous points in time:</w:t>
            </w:r>
          </w:p>
          <w:p w14:paraId="0EC95A21" w14:textId="77777777" w:rsidR="00C160EB" w:rsidRDefault="00C160EB" w:rsidP="00C160EB">
            <w:pPr>
              <w:numPr>
                <w:ilvl w:val="0"/>
                <w:numId w:val="47"/>
              </w:numPr>
              <w:spacing w:before="0" w:after="0" w:line="240" w:lineRule="auto"/>
            </w:pPr>
            <w:r>
              <w:t>A week before the client presents to the agency</w:t>
            </w:r>
          </w:p>
          <w:p w14:paraId="5D9360C1" w14:textId="77777777" w:rsidR="00C160EB" w:rsidRDefault="00C160EB" w:rsidP="00C160EB">
            <w:pPr>
              <w:numPr>
                <w:ilvl w:val="0"/>
                <w:numId w:val="47"/>
              </w:numPr>
              <w:spacing w:before="0" w:after="0" w:line="240" w:lineRule="auto"/>
            </w:pPr>
            <w:r>
              <w:rPr>
                <w:b/>
              </w:rPr>
              <w:t>At the time of presentation</w:t>
            </w:r>
          </w:p>
          <w:p w14:paraId="79F3B1DD" w14:textId="77777777" w:rsidR="00C160EB" w:rsidRDefault="00C160EB" w:rsidP="00C160EB">
            <w:pPr>
              <w:numPr>
                <w:ilvl w:val="0"/>
                <w:numId w:val="47"/>
              </w:numPr>
              <w:spacing w:before="0" w:after="0" w:line="240" w:lineRule="auto"/>
            </w:pPr>
            <w:r>
              <w:t>At the last service provision date of each month during support</w:t>
            </w:r>
          </w:p>
          <w:p w14:paraId="14FB5EC1" w14:textId="77777777" w:rsidR="00C160EB" w:rsidRDefault="00C160EB" w:rsidP="00C160EB">
            <w:pPr>
              <w:numPr>
                <w:ilvl w:val="0"/>
                <w:numId w:val="47"/>
              </w:numPr>
              <w:spacing w:before="0" w:after="0" w:line="240" w:lineRule="auto"/>
            </w:pPr>
            <w:r>
              <w:rPr>
                <w:b/>
              </w:rPr>
              <w:t>At the end of the support period</w:t>
            </w:r>
          </w:p>
          <w:p w14:paraId="0A6EC225" w14:textId="77777777" w:rsidR="00C160EB" w:rsidRDefault="00C160EB" w:rsidP="00C160EB">
            <w:r>
              <w:t>Only points 2 and 4 are included in this indicator.</w:t>
            </w:r>
          </w:p>
          <w:p w14:paraId="561AC97A" w14:textId="77777777" w:rsidR="00C160EB" w:rsidRDefault="00C160EB" w:rsidP="00C160EB">
            <w:r>
              <w:t>A client may have support periods from a single agency or multiple agencies. All support periods for a client are given consideration in the derivation of the indicator.</w:t>
            </w:r>
          </w:p>
          <w:p w14:paraId="5CB02476" w14:textId="156DECB2" w:rsidR="00C160EB" w:rsidRDefault="00C160EB" w:rsidP="00C160EB">
            <w:r>
              <w:t xml:space="preserve">A client is </w:t>
            </w:r>
            <w:r>
              <w:rPr>
                <w:b/>
              </w:rPr>
              <w:t>in-scope</w:t>
            </w:r>
            <w:r>
              <w:t xml:space="preserve"> for this indicator if, at any time during the first six months of a reporting period—hereafter the in-scope period—they commenced a support period ‘at risk’ of homelessness (that is, homeless status was derived as at risk at time point 2 above.</w:t>
            </w:r>
          </w:p>
          <w:p w14:paraId="6C73A638" w14:textId="77777777" w:rsidR="00C160EB" w:rsidRDefault="00C160EB" w:rsidP="00C160EB">
            <w:r>
              <w:t xml:space="preserve">The derivation for the homeless status of a client or a support period is described in Glossary item </w:t>
            </w:r>
            <w:hyperlink r:id="rId19" w:tooltip="All clients of specialist homelessness services are considered to be either homeless or at risk of homelessness. Homelessness and at-risk status is determined by the specific criteria described below using three aspects of a client’s housing situation:..." w:history="1">
              <w:r>
                <w:rPr>
                  <w:rStyle w:val="Hyperlink"/>
                  <w:b/>
                </w:rPr>
                <w:t>SHS Homeless status</w:t>
              </w:r>
            </w:hyperlink>
            <w:r>
              <w:t>.</w:t>
            </w:r>
          </w:p>
          <w:p w14:paraId="220597E0" w14:textId="77777777" w:rsidR="00696CF0" w:rsidRDefault="00696CF0" w:rsidP="00A520B9">
            <w:r>
              <w:rPr>
                <w:b/>
                <w:i/>
              </w:rPr>
              <w:t>Methodology:</w:t>
            </w:r>
          </w:p>
          <w:p w14:paraId="1564CDC8" w14:textId="47664373" w:rsidR="00C160EB" w:rsidRDefault="00C160EB" w:rsidP="00C160EB">
            <w:r>
              <w:t xml:space="preserve">Homeless status for in-scope clients is examined for 6 months—hereafter follow-up period—from the start of their first recorded in-scope at-risk support period. The follow-up period is derived by incrementing the start date by 6 months. For example, for the in-scope period from 1 July 2020 to 31 December 2020, if a client’s first at-risk support period commenced on </w:t>
            </w:r>
            <w:proofErr w:type="gramStart"/>
            <w:r>
              <w:t>20 August 2020</w:t>
            </w:r>
            <w:proofErr w:type="gramEnd"/>
            <w:r>
              <w:t xml:space="preserve"> then the follow-up period would commence on 20 August 2020and end on 20 February 2021.</w:t>
            </w:r>
          </w:p>
          <w:p w14:paraId="5D2B8F3D" w14:textId="77777777" w:rsidR="00696CF0" w:rsidRDefault="00696CF0" w:rsidP="00A520B9">
            <w:r>
              <w:t>Example nomenclature for date/s</w:t>
            </w:r>
          </w:p>
          <w:tbl>
            <w:tblPr>
              <w:tblStyle w:val="TableGrid10"/>
              <w:tblW w:w="0" w:type="auto"/>
              <w:tblCellSpacing w:w="0" w:type="dxa"/>
              <w:tblCellMar>
                <w:left w:w="0" w:type="dxa"/>
                <w:right w:w="0" w:type="dxa"/>
              </w:tblCellMar>
              <w:tblLook w:val="04A0" w:firstRow="1" w:lastRow="0" w:firstColumn="1" w:lastColumn="0" w:noHBand="0" w:noVBand="1"/>
            </w:tblPr>
            <w:tblGrid>
              <w:gridCol w:w="2100"/>
              <w:gridCol w:w="4154"/>
            </w:tblGrid>
            <w:tr w:rsidR="00696CF0" w14:paraId="5F5B586A" w14:textId="77777777" w:rsidTr="00A520B9">
              <w:trPr>
                <w:tblCellSpacing w:w="0" w:type="dxa"/>
              </w:trPr>
              <w:tc>
                <w:tcPr>
                  <w:tcW w:w="0" w:type="auto"/>
                </w:tcPr>
                <w:p w14:paraId="6B2307ED" w14:textId="77777777" w:rsidR="00696CF0" w:rsidRDefault="00696CF0" w:rsidP="00A520B9">
                  <w:r>
                    <w:rPr>
                      <w:b/>
                    </w:rPr>
                    <w:t>Date/s</w:t>
                  </w:r>
                </w:p>
              </w:tc>
              <w:tc>
                <w:tcPr>
                  <w:tcW w:w="0" w:type="auto"/>
                </w:tcPr>
                <w:p w14:paraId="39F3F719" w14:textId="77777777" w:rsidR="00696CF0" w:rsidRDefault="00696CF0" w:rsidP="00A520B9">
                  <w:r>
                    <w:rPr>
                      <w:b/>
                    </w:rPr>
                    <w:t>Nomenclature</w:t>
                  </w:r>
                </w:p>
              </w:tc>
            </w:tr>
            <w:tr w:rsidR="00696CF0" w14:paraId="0DED0B61" w14:textId="77777777" w:rsidTr="00A520B9">
              <w:trPr>
                <w:tblCellSpacing w:w="0" w:type="dxa"/>
              </w:trPr>
              <w:tc>
                <w:tcPr>
                  <w:tcW w:w="0" w:type="auto"/>
                </w:tcPr>
                <w:p w14:paraId="4E5BCEA5" w14:textId="77777777" w:rsidR="00696CF0" w:rsidRDefault="00696CF0" w:rsidP="00A520B9">
                  <w:r>
                    <w:t>1 Jul 2020 to 31 Dec 2020</w:t>
                  </w:r>
                </w:p>
              </w:tc>
              <w:tc>
                <w:tcPr>
                  <w:tcW w:w="0" w:type="auto"/>
                </w:tcPr>
                <w:p w14:paraId="33137E9D" w14:textId="77777777" w:rsidR="00696CF0" w:rsidRDefault="00696CF0" w:rsidP="00A520B9">
                  <w:r>
                    <w:t>In-scope period</w:t>
                  </w:r>
                </w:p>
              </w:tc>
            </w:tr>
            <w:tr w:rsidR="00696CF0" w14:paraId="32670390" w14:textId="77777777" w:rsidTr="00A520B9">
              <w:trPr>
                <w:tblCellSpacing w:w="0" w:type="dxa"/>
              </w:trPr>
              <w:tc>
                <w:tcPr>
                  <w:tcW w:w="0" w:type="auto"/>
                </w:tcPr>
                <w:p w14:paraId="59DA4082" w14:textId="77777777" w:rsidR="00696CF0" w:rsidRDefault="00696CF0" w:rsidP="00A520B9">
                  <w:r>
                    <w:t>20 Aug 2020</w:t>
                  </w:r>
                </w:p>
              </w:tc>
              <w:tc>
                <w:tcPr>
                  <w:tcW w:w="0" w:type="auto"/>
                </w:tcPr>
                <w:p w14:paraId="24E9A4E1" w14:textId="77777777" w:rsidR="00696CF0" w:rsidRDefault="00696CF0" w:rsidP="00A520B9">
                  <w:r>
                    <w:t>Example, First recorded in-scope ‘At risk’ support period</w:t>
                  </w:r>
                </w:p>
              </w:tc>
            </w:tr>
            <w:tr w:rsidR="00696CF0" w14:paraId="77325B6F" w14:textId="77777777" w:rsidTr="00A520B9">
              <w:trPr>
                <w:tblCellSpacing w:w="0" w:type="dxa"/>
              </w:trPr>
              <w:tc>
                <w:tcPr>
                  <w:tcW w:w="0" w:type="auto"/>
                </w:tcPr>
                <w:p w14:paraId="35006B27" w14:textId="77777777" w:rsidR="00696CF0" w:rsidRDefault="00696CF0" w:rsidP="00A520B9">
                  <w:r>
                    <w:t>20 Aug 2020 to 20 Feb 2021</w:t>
                  </w:r>
                </w:p>
              </w:tc>
              <w:tc>
                <w:tcPr>
                  <w:tcW w:w="0" w:type="auto"/>
                </w:tcPr>
                <w:p w14:paraId="6C1B87B7" w14:textId="77777777" w:rsidR="00696CF0" w:rsidRDefault="00696CF0" w:rsidP="00A520B9">
                  <w:r>
                    <w:t>Follow up period</w:t>
                  </w:r>
                </w:p>
              </w:tc>
            </w:tr>
          </w:tbl>
          <w:p w14:paraId="61EA9726" w14:textId="38274954" w:rsidR="00C160EB" w:rsidRPr="00C160EB" w:rsidRDefault="00C160EB" w:rsidP="00C160EB">
            <w:r>
              <w:t>Any client that is recorded as not homeless (at time points 2 or 4) for all support periods throughout the follow up period is considered to have avoided homelessness.</w:t>
            </w:r>
          </w:p>
        </w:tc>
      </w:tr>
      <w:tr w:rsidR="00696CF0" w14:paraId="00E67D0D" w14:textId="77777777" w:rsidTr="001C3FAD">
        <w:tc>
          <w:tcPr>
            <w:tcW w:w="2700" w:type="dxa"/>
          </w:tcPr>
          <w:p w14:paraId="7214E139" w14:textId="77777777" w:rsidR="00696CF0" w:rsidRDefault="00696CF0" w:rsidP="00A520B9">
            <w:r>
              <w:rPr>
                <w:rStyle w:val="row-heading"/>
              </w:rPr>
              <w:t>Computation:</w:t>
            </w:r>
          </w:p>
        </w:tc>
        <w:tc>
          <w:tcPr>
            <w:tcW w:w="6480" w:type="dxa"/>
          </w:tcPr>
          <w:p w14:paraId="26114DE8" w14:textId="77777777" w:rsidR="00696CF0" w:rsidRDefault="00696CF0" w:rsidP="00A520B9">
            <w:r>
              <w:t>(Numerator ÷ Denominator) x 100</w:t>
            </w:r>
          </w:p>
        </w:tc>
      </w:tr>
      <w:tr w:rsidR="00C160EB" w14:paraId="078E6C26" w14:textId="77777777" w:rsidTr="001C3FAD">
        <w:tc>
          <w:tcPr>
            <w:tcW w:w="2700" w:type="dxa"/>
          </w:tcPr>
          <w:p w14:paraId="2557FEF1" w14:textId="77777777" w:rsidR="00C160EB" w:rsidRDefault="00C160EB" w:rsidP="00C160EB">
            <w:r>
              <w:rPr>
                <w:rStyle w:val="row-heading"/>
              </w:rPr>
              <w:t>Numerator:</w:t>
            </w:r>
          </w:p>
        </w:tc>
        <w:tc>
          <w:tcPr>
            <w:tcW w:w="6480" w:type="dxa"/>
          </w:tcPr>
          <w:p w14:paraId="3BDC2544" w14:textId="45B2122D" w:rsidR="00C160EB" w:rsidRDefault="00C160EB" w:rsidP="00C160EB">
            <w:r>
              <w:t>Number of at-risk clients without recorded homelessness in the 6-month follow up period.</w:t>
            </w:r>
          </w:p>
        </w:tc>
      </w:tr>
      <w:tr w:rsidR="00696CF0" w14:paraId="44126209" w14:textId="77777777" w:rsidTr="001C3FAD">
        <w:tc>
          <w:tcPr>
            <w:tcW w:w="2700" w:type="dxa"/>
          </w:tcPr>
          <w:p w14:paraId="7DD79FB4" w14:textId="77777777" w:rsidR="00696CF0" w:rsidRDefault="00696CF0" w:rsidP="00A520B9">
            <w:r>
              <w:rPr>
                <w:rStyle w:val="row-heading"/>
              </w:rPr>
              <w:t>Numerator data elements:</w:t>
            </w:r>
          </w:p>
        </w:tc>
        <w:tc>
          <w:tcPr>
            <w:tcW w:w="6480" w:type="dxa"/>
          </w:tcPr>
          <w:p w14:paraId="5416BB8B" w14:textId="77777777" w:rsidR="00696CF0" w:rsidRDefault="00696CF0" w:rsidP="00A520B9">
            <w:r>
              <w:rPr>
                <w:b/>
                <w:color w:val="000000"/>
              </w:rPr>
              <w:t>Data Element / Data Set</w:t>
            </w:r>
          </w:p>
          <w:p w14:paraId="4A7BED9E" w14:textId="3C1311B4" w:rsidR="00696CF0" w:rsidRDefault="00696CF0" w:rsidP="00A520B9">
            <w:r>
              <w:rPr>
                <w:b/>
              </w:rPr>
              <w:t>Data Element</w:t>
            </w:r>
          </w:p>
          <w:p w14:paraId="7694ABD9" w14:textId="77777777" w:rsidR="00C160EB" w:rsidRDefault="00C160EB" w:rsidP="00C160EB">
            <w:r>
              <w:t>Homeless status at the end of support (derived)—not homeless</w:t>
            </w:r>
          </w:p>
          <w:p w14:paraId="41415C67" w14:textId="77777777" w:rsidR="00696CF0" w:rsidRDefault="00696CF0" w:rsidP="00A520B9">
            <w:r>
              <w:rPr>
                <w:b/>
              </w:rPr>
              <w:t>Data Source</w:t>
            </w:r>
          </w:p>
          <w:p w14:paraId="4AFC08EF" w14:textId="77777777" w:rsidR="00C160EB" w:rsidRDefault="00761F8E" w:rsidP="00C160EB">
            <w:hyperlink r:id="rId20" w:history="1">
              <w:r w:rsidR="00C160EB">
                <w:rPr>
                  <w:rStyle w:val="Hyperlink"/>
                </w:rPr>
                <w:t>Specialist Homelessness Services Data Collection</w:t>
              </w:r>
            </w:hyperlink>
          </w:p>
          <w:p w14:paraId="4839D91B" w14:textId="77777777" w:rsidR="00696CF0" w:rsidRDefault="00696CF0" w:rsidP="00A520B9">
            <w:r>
              <w:rPr>
                <w:b/>
              </w:rPr>
              <w:t>NMDS / DSS</w:t>
            </w:r>
          </w:p>
          <w:p w14:paraId="6E4ABBC5" w14:textId="6B33AFAD" w:rsidR="00696CF0" w:rsidRDefault="00761F8E" w:rsidP="00A520B9">
            <w:hyperlink r:id="rId21" w:history="1">
              <w:r w:rsidR="00C160EB">
                <w:rPr>
                  <w:rStyle w:val="Hyperlink"/>
                </w:rPr>
                <w:t>Specialist Homelessness Services NMDS 2019-</w:t>
              </w:r>
            </w:hyperlink>
          </w:p>
        </w:tc>
      </w:tr>
      <w:tr w:rsidR="00C160EB" w14:paraId="45E282A6" w14:textId="77777777" w:rsidTr="001C3FAD">
        <w:tc>
          <w:tcPr>
            <w:tcW w:w="2700" w:type="dxa"/>
          </w:tcPr>
          <w:p w14:paraId="1047DBA6" w14:textId="77777777" w:rsidR="00C160EB" w:rsidRDefault="00C160EB" w:rsidP="00C160EB">
            <w:r>
              <w:rPr>
                <w:rStyle w:val="row-heading"/>
              </w:rPr>
              <w:t>Denominator:</w:t>
            </w:r>
          </w:p>
        </w:tc>
        <w:tc>
          <w:tcPr>
            <w:tcW w:w="6480" w:type="dxa"/>
          </w:tcPr>
          <w:p w14:paraId="2FC223C1" w14:textId="26A1EC03" w:rsidR="00C160EB" w:rsidRDefault="00C160EB" w:rsidP="00C160EB">
            <w:r>
              <w:t xml:space="preserve">Number of clients with at least one support period with an </w:t>
            </w:r>
            <w:proofErr w:type="gramStart"/>
            <w:r>
              <w:t>at risk</w:t>
            </w:r>
            <w:proofErr w:type="gramEnd"/>
            <w:r>
              <w:t xml:space="preserve"> homeless status in the in-scope period.</w:t>
            </w:r>
          </w:p>
        </w:tc>
      </w:tr>
      <w:tr w:rsidR="00696CF0" w14:paraId="6C1CE2BA" w14:textId="77777777" w:rsidTr="001C3FAD">
        <w:tc>
          <w:tcPr>
            <w:tcW w:w="2700" w:type="dxa"/>
          </w:tcPr>
          <w:p w14:paraId="1DBAE47C" w14:textId="77777777" w:rsidR="00696CF0" w:rsidRDefault="00696CF0" w:rsidP="00A520B9">
            <w:r>
              <w:rPr>
                <w:rStyle w:val="row-heading"/>
              </w:rPr>
              <w:t>Denominator data elements:</w:t>
            </w:r>
          </w:p>
        </w:tc>
        <w:tc>
          <w:tcPr>
            <w:tcW w:w="6480" w:type="dxa"/>
          </w:tcPr>
          <w:p w14:paraId="25DC3C25" w14:textId="77777777" w:rsidR="00696CF0" w:rsidRDefault="00696CF0" w:rsidP="00A520B9">
            <w:r>
              <w:rPr>
                <w:b/>
                <w:color w:val="000000"/>
              </w:rPr>
              <w:t>Data Element / Data Set</w:t>
            </w:r>
          </w:p>
          <w:p w14:paraId="3EC26DF2" w14:textId="56C40E0C" w:rsidR="00696CF0" w:rsidRDefault="00696CF0" w:rsidP="00A520B9">
            <w:r>
              <w:rPr>
                <w:b/>
              </w:rPr>
              <w:t>Data Element</w:t>
            </w:r>
          </w:p>
          <w:p w14:paraId="5A27811A" w14:textId="77777777" w:rsidR="00C160EB" w:rsidRDefault="00C160EB" w:rsidP="00C160EB">
            <w:r>
              <w:t>Homeless status at presentation (derived)—at risk</w:t>
            </w:r>
          </w:p>
          <w:p w14:paraId="50BB0F94" w14:textId="77777777" w:rsidR="00696CF0" w:rsidRDefault="00696CF0" w:rsidP="00A520B9">
            <w:r>
              <w:rPr>
                <w:b/>
              </w:rPr>
              <w:t>Data Source</w:t>
            </w:r>
          </w:p>
          <w:p w14:paraId="1EFDC8B6" w14:textId="77777777" w:rsidR="00C160EB" w:rsidRDefault="00761F8E" w:rsidP="00C160EB">
            <w:hyperlink r:id="rId22" w:history="1">
              <w:r w:rsidR="00C160EB">
                <w:rPr>
                  <w:rStyle w:val="Hyperlink"/>
                </w:rPr>
                <w:t>Specialist Homelessness Services Data Collection</w:t>
              </w:r>
            </w:hyperlink>
          </w:p>
          <w:p w14:paraId="56A2EBF2" w14:textId="77777777" w:rsidR="00696CF0" w:rsidRDefault="00696CF0" w:rsidP="00A520B9">
            <w:r>
              <w:rPr>
                <w:b/>
              </w:rPr>
              <w:t>NMDS / DSS</w:t>
            </w:r>
          </w:p>
          <w:p w14:paraId="43429362" w14:textId="52E2E3F3" w:rsidR="00696CF0" w:rsidRDefault="00761F8E" w:rsidP="00A520B9">
            <w:hyperlink r:id="rId23" w:history="1">
              <w:r w:rsidR="00C160EB">
                <w:rPr>
                  <w:rStyle w:val="Hyperlink"/>
                </w:rPr>
                <w:t>Specialist Homelessness Services NMDS 2019-</w:t>
              </w:r>
            </w:hyperlink>
          </w:p>
        </w:tc>
      </w:tr>
      <w:tr w:rsidR="00696CF0" w14:paraId="3F82CE62" w14:textId="77777777" w:rsidTr="001C3FAD">
        <w:tc>
          <w:tcPr>
            <w:tcW w:w="2700" w:type="dxa"/>
          </w:tcPr>
          <w:p w14:paraId="2B32E864" w14:textId="77777777" w:rsidR="00696CF0" w:rsidRDefault="00696CF0" w:rsidP="00A520B9">
            <w:r>
              <w:rPr>
                <w:rStyle w:val="row-heading"/>
              </w:rPr>
              <w:t>Disaggregation:</w:t>
            </w:r>
          </w:p>
        </w:tc>
        <w:tc>
          <w:tcPr>
            <w:tcW w:w="6480" w:type="dxa"/>
          </w:tcPr>
          <w:p w14:paraId="455882CD" w14:textId="77777777" w:rsidR="00C160EB" w:rsidRDefault="00C160EB" w:rsidP="00C160EB">
            <w:r>
              <w:t>2020–21 — Nationally, by:</w:t>
            </w:r>
          </w:p>
          <w:p w14:paraId="6F9EDD05" w14:textId="77777777" w:rsidR="00C160EB" w:rsidRDefault="00C160EB" w:rsidP="00C160EB">
            <w:pPr>
              <w:numPr>
                <w:ilvl w:val="0"/>
                <w:numId w:val="39"/>
              </w:numPr>
              <w:spacing w:before="0" w:after="0" w:line="240" w:lineRule="auto"/>
            </w:pPr>
            <w:r>
              <w:t>Sex and Age group.</w:t>
            </w:r>
          </w:p>
          <w:p w14:paraId="3C91EDE5" w14:textId="77777777" w:rsidR="00C160EB" w:rsidRDefault="00C160EB" w:rsidP="00C160EB">
            <w:r>
              <w:t>2020–21 — State and territory by:</w:t>
            </w:r>
          </w:p>
          <w:p w14:paraId="14BA05F2" w14:textId="45604561" w:rsidR="00696CF0" w:rsidRDefault="00C160EB" w:rsidP="00C160EB">
            <w:pPr>
              <w:numPr>
                <w:ilvl w:val="0"/>
                <w:numId w:val="39"/>
              </w:numPr>
              <w:spacing w:before="0" w:after="0" w:line="240" w:lineRule="auto"/>
            </w:pPr>
            <w:r>
              <w:t>Sex and Age group.</w:t>
            </w:r>
          </w:p>
        </w:tc>
      </w:tr>
      <w:tr w:rsidR="00696CF0" w14:paraId="2ED4DAA6" w14:textId="77777777" w:rsidTr="001C3FAD">
        <w:tc>
          <w:tcPr>
            <w:tcW w:w="2700" w:type="dxa"/>
          </w:tcPr>
          <w:p w14:paraId="18346BA8" w14:textId="77777777" w:rsidR="00696CF0" w:rsidRDefault="00696CF0" w:rsidP="00A520B9">
            <w:r>
              <w:rPr>
                <w:rStyle w:val="row-heading"/>
              </w:rPr>
              <w:t>Disaggregation data elements:</w:t>
            </w:r>
          </w:p>
        </w:tc>
        <w:tc>
          <w:tcPr>
            <w:tcW w:w="6480" w:type="dxa"/>
          </w:tcPr>
          <w:p w14:paraId="2E12CEA5" w14:textId="77777777" w:rsidR="00696CF0" w:rsidRDefault="00696CF0" w:rsidP="00A520B9">
            <w:r>
              <w:rPr>
                <w:b/>
                <w:color w:val="000000"/>
              </w:rPr>
              <w:t>Data Element / Data Set</w:t>
            </w:r>
          </w:p>
          <w:p w14:paraId="497D71DC" w14:textId="61020731" w:rsidR="00696CF0" w:rsidRDefault="00696CF0" w:rsidP="00A520B9">
            <w:r>
              <w:rPr>
                <w:b/>
              </w:rPr>
              <w:t>Data Element</w:t>
            </w:r>
          </w:p>
          <w:p w14:paraId="12DCEA70" w14:textId="77777777" w:rsidR="00C160EB" w:rsidRDefault="00C160EB" w:rsidP="00C160EB">
            <w:r>
              <w:t>NHHA priority homelessness cohorts - </w:t>
            </w:r>
            <w:hyperlink r:id="rId24" w:tooltip="For the purposes of the Priority homelessness cohort (NHHA B2 e), people exiting institutions and care into homelessness are individuals who were homeless immediately after their departure from a facility that provides care or essential public/communit..." w:history="1">
              <w:r>
                <w:rPr>
                  <w:rStyle w:val="Hyperlink"/>
                  <w:b/>
                </w:rPr>
                <w:t>people exiting institutions and care into homelessness</w:t>
              </w:r>
            </w:hyperlink>
          </w:p>
          <w:p w14:paraId="401A8C66" w14:textId="77777777" w:rsidR="00C160EB" w:rsidRDefault="00C160EB" w:rsidP="00C160EB">
            <w:r>
              <w:t>Disaggregation</w:t>
            </w:r>
          </w:p>
          <w:p w14:paraId="55890A5B" w14:textId="77777777" w:rsidR="00C160EB" w:rsidRDefault="00C160EB" w:rsidP="00C160EB">
            <w:r>
              <w:t>2020–21 — Nationally, by:</w:t>
            </w:r>
          </w:p>
          <w:p w14:paraId="055F3515" w14:textId="77777777" w:rsidR="00C160EB" w:rsidRDefault="00C160EB" w:rsidP="00C160EB">
            <w:pPr>
              <w:numPr>
                <w:ilvl w:val="0"/>
                <w:numId w:val="48"/>
              </w:numPr>
              <w:spacing w:before="0" w:after="0" w:line="240" w:lineRule="auto"/>
            </w:pPr>
            <w:r>
              <w:t>Sex.</w:t>
            </w:r>
          </w:p>
          <w:p w14:paraId="308408F3" w14:textId="77777777" w:rsidR="00C160EB" w:rsidRDefault="00C160EB" w:rsidP="00C160EB">
            <w:r>
              <w:t>2020–21 — State and territory by:</w:t>
            </w:r>
          </w:p>
          <w:p w14:paraId="54580D18" w14:textId="73538291" w:rsidR="00C160EB" w:rsidRDefault="00C160EB" w:rsidP="00C160EB">
            <w:pPr>
              <w:numPr>
                <w:ilvl w:val="0"/>
                <w:numId w:val="48"/>
              </w:numPr>
              <w:spacing w:before="0" w:after="0" w:line="240" w:lineRule="auto"/>
            </w:pPr>
            <w:r>
              <w:t>Sex.</w:t>
            </w:r>
          </w:p>
          <w:p w14:paraId="65C4EC42" w14:textId="77777777" w:rsidR="00C160EB" w:rsidRPr="00C160EB" w:rsidRDefault="00C160EB" w:rsidP="00C160EB">
            <w:pPr>
              <w:pStyle w:val="AIHWbodytext"/>
              <w:rPr>
                <w:lang w:eastAsia="en-AU"/>
              </w:rPr>
            </w:pPr>
          </w:p>
          <w:p w14:paraId="16678389" w14:textId="77777777" w:rsidR="00696CF0" w:rsidRDefault="00696CF0" w:rsidP="00A520B9">
            <w:r>
              <w:rPr>
                <w:b/>
                <w:color w:val="000000"/>
              </w:rPr>
              <w:t>Data Element / Data Set</w:t>
            </w:r>
          </w:p>
          <w:p w14:paraId="2637DD6E" w14:textId="30FFFB7E" w:rsidR="00696CF0" w:rsidRDefault="00696CF0" w:rsidP="00A520B9">
            <w:r>
              <w:rPr>
                <w:b/>
              </w:rPr>
              <w:t>Data Element</w:t>
            </w:r>
          </w:p>
          <w:p w14:paraId="3C1F04B5" w14:textId="77777777" w:rsidR="00C160EB" w:rsidRDefault="00C160EB" w:rsidP="00C160EB">
            <w:r>
              <w:t>NHHA priority homelessness cohorts - </w:t>
            </w:r>
            <w:hyperlink r:id="rId25" w:tooltip="For the purposes of the Priority homelessness cohort (NHHA B2 f), older people are individuals whose age is 55 years or above. " w:history="1">
              <w:r>
                <w:rPr>
                  <w:rStyle w:val="Hyperlink"/>
                  <w:b/>
                </w:rPr>
                <w:t>older people</w:t>
              </w:r>
            </w:hyperlink>
          </w:p>
          <w:p w14:paraId="0D04632E" w14:textId="77777777" w:rsidR="00C160EB" w:rsidRDefault="00C160EB" w:rsidP="00C160EB">
            <w:r>
              <w:t>Disaggregation</w:t>
            </w:r>
          </w:p>
          <w:p w14:paraId="7C5DA3DD" w14:textId="77777777" w:rsidR="00C160EB" w:rsidRDefault="00C160EB" w:rsidP="00C160EB">
            <w:r>
              <w:t>2020–21 — Nationally, by:</w:t>
            </w:r>
          </w:p>
          <w:p w14:paraId="2F64526B" w14:textId="77777777" w:rsidR="00C160EB" w:rsidRDefault="00C160EB" w:rsidP="00C160EB">
            <w:pPr>
              <w:numPr>
                <w:ilvl w:val="0"/>
                <w:numId w:val="48"/>
              </w:numPr>
              <w:spacing w:before="0" w:after="0" w:line="240" w:lineRule="auto"/>
            </w:pPr>
            <w:r>
              <w:t>Sex.</w:t>
            </w:r>
          </w:p>
          <w:p w14:paraId="36BA9389" w14:textId="77777777" w:rsidR="00C160EB" w:rsidRDefault="00C160EB" w:rsidP="00C160EB">
            <w:r>
              <w:t>2020–21 — State and territory by:</w:t>
            </w:r>
          </w:p>
          <w:p w14:paraId="2EBABF3E" w14:textId="77777777" w:rsidR="00C160EB" w:rsidRDefault="00C160EB" w:rsidP="00C160EB">
            <w:pPr>
              <w:numPr>
                <w:ilvl w:val="0"/>
                <w:numId w:val="48"/>
              </w:numPr>
              <w:spacing w:before="0" w:after="0" w:line="240" w:lineRule="auto"/>
            </w:pPr>
            <w:r>
              <w:t>Sex.</w:t>
            </w:r>
          </w:p>
          <w:p w14:paraId="7007F621" w14:textId="77777777" w:rsidR="00C160EB" w:rsidRDefault="00C160EB" w:rsidP="00A520B9">
            <w:pPr>
              <w:rPr>
                <w:b/>
                <w:color w:val="000000"/>
              </w:rPr>
            </w:pPr>
          </w:p>
          <w:p w14:paraId="6836BB4D" w14:textId="3CA70F6F" w:rsidR="00696CF0" w:rsidRDefault="00696CF0" w:rsidP="00A520B9">
            <w:r>
              <w:rPr>
                <w:b/>
                <w:color w:val="000000"/>
              </w:rPr>
              <w:t>Data Element / Data Set</w:t>
            </w:r>
          </w:p>
          <w:p w14:paraId="56569278" w14:textId="4F793BFE" w:rsidR="00696CF0" w:rsidRDefault="00696CF0" w:rsidP="00A520B9">
            <w:r>
              <w:rPr>
                <w:b/>
              </w:rPr>
              <w:t>Data Element</w:t>
            </w:r>
          </w:p>
          <w:p w14:paraId="6369FE2D" w14:textId="77777777" w:rsidR="00C160EB" w:rsidRDefault="00C160EB" w:rsidP="00C160EB">
            <w:r>
              <w:t>NHHA priority homelessness cohorts - </w:t>
            </w:r>
            <w:hyperlink r:id="rId26" w:tooltip="For the purposes of the Priority homelessness cohort (NHHA B2 a), women and children affected by family and domestic violence are women and children who have experienced violent, threatening, coercive, controlling or intimidating behaviour by a member ..." w:history="1">
              <w:r>
                <w:rPr>
                  <w:rStyle w:val="Hyperlink"/>
                  <w:b/>
                </w:rPr>
                <w:t>women and children affected by family and domestic violence</w:t>
              </w:r>
            </w:hyperlink>
          </w:p>
          <w:p w14:paraId="7448F377" w14:textId="77777777" w:rsidR="00C160EB" w:rsidRDefault="00C160EB" w:rsidP="00C160EB">
            <w:r>
              <w:t>Disaggregation</w:t>
            </w:r>
          </w:p>
          <w:p w14:paraId="2DB10462" w14:textId="77777777" w:rsidR="00C160EB" w:rsidRDefault="00C160EB" w:rsidP="00C160EB">
            <w:r>
              <w:t>2020–21 — Nationally, by:</w:t>
            </w:r>
          </w:p>
          <w:p w14:paraId="7B01E9A8" w14:textId="77777777" w:rsidR="00C160EB" w:rsidRDefault="00C160EB" w:rsidP="00C160EB">
            <w:pPr>
              <w:numPr>
                <w:ilvl w:val="0"/>
                <w:numId w:val="48"/>
              </w:numPr>
              <w:spacing w:before="0" w:after="0" w:line="240" w:lineRule="auto"/>
            </w:pPr>
            <w:r>
              <w:t>Sex.</w:t>
            </w:r>
          </w:p>
          <w:p w14:paraId="136DCBDE" w14:textId="77777777" w:rsidR="00C160EB" w:rsidRDefault="00C160EB" w:rsidP="00C160EB">
            <w:r>
              <w:t>2020–21 — State and territory by:</w:t>
            </w:r>
          </w:p>
          <w:p w14:paraId="7632C49C" w14:textId="5BB48484" w:rsidR="00C160EB" w:rsidRDefault="00C160EB" w:rsidP="00C160EB">
            <w:pPr>
              <w:numPr>
                <w:ilvl w:val="0"/>
                <w:numId w:val="49"/>
              </w:numPr>
              <w:spacing w:before="0" w:after="0" w:line="240" w:lineRule="auto"/>
            </w:pPr>
            <w:r>
              <w:t>Sex.</w:t>
            </w:r>
          </w:p>
          <w:p w14:paraId="3216C5E8" w14:textId="77777777" w:rsidR="00C160EB" w:rsidRPr="00C160EB" w:rsidRDefault="00C160EB" w:rsidP="00C160EB">
            <w:pPr>
              <w:pStyle w:val="AIHWbodytext"/>
              <w:rPr>
                <w:lang w:eastAsia="en-AU"/>
              </w:rPr>
            </w:pPr>
          </w:p>
          <w:p w14:paraId="47BCD90F" w14:textId="77777777" w:rsidR="00696CF0" w:rsidRDefault="00696CF0" w:rsidP="00A520B9">
            <w:r>
              <w:rPr>
                <w:b/>
                <w:color w:val="000000"/>
              </w:rPr>
              <w:t>Data Element / Data Set</w:t>
            </w:r>
          </w:p>
          <w:p w14:paraId="56A25D93" w14:textId="47E092F3" w:rsidR="00696CF0" w:rsidRDefault="00696CF0" w:rsidP="00A520B9">
            <w:r>
              <w:rPr>
                <w:b/>
              </w:rPr>
              <w:t>Data Element</w:t>
            </w:r>
          </w:p>
          <w:p w14:paraId="76724284" w14:textId="77777777" w:rsidR="00C160EB" w:rsidRDefault="00C160EB" w:rsidP="00C160EB">
            <w:r>
              <w:t>NHHA priority homelessness cohorts - </w:t>
            </w:r>
            <w:hyperlink r:id="rId27" w:tooltip="For the purposes of the Priority homelessness cohort (NHHA B2 c), Indigenous Australians are people in Australia who self-identify as either Aboriginal or Torres Strait Islander or both. " w:history="1">
              <w:r>
                <w:rPr>
                  <w:rStyle w:val="Hyperlink"/>
                  <w:b/>
                </w:rPr>
                <w:t>Indigenous Australians</w:t>
              </w:r>
            </w:hyperlink>
          </w:p>
          <w:p w14:paraId="186EB5CC" w14:textId="77777777" w:rsidR="00C160EB" w:rsidRDefault="00C160EB" w:rsidP="00C160EB">
            <w:r>
              <w:t>Disaggregation</w:t>
            </w:r>
          </w:p>
          <w:p w14:paraId="6A40FFB1" w14:textId="77777777" w:rsidR="00C160EB" w:rsidRDefault="00C160EB" w:rsidP="00C160EB">
            <w:r>
              <w:t>2020–21 — Nationally, by:</w:t>
            </w:r>
          </w:p>
          <w:p w14:paraId="5A9E0610" w14:textId="77777777" w:rsidR="00C160EB" w:rsidRDefault="00C160EB" w:rsidP="00C160EB">
            <w:pPr>
              <w:numPr>
                <w:ilvl w:val="0"/>
                <w:numId w:val="48"/>
              </w:numPr>
              <w:spacing w:before="0" w:after="0" w:line="240" w:lineRule="auto"/>
            </w:pPr>
            <w:r>
              <w:t>Sex.</w:t>
            </w:r>
          </w:p>
          <w:p w14:paraId="7B5B68B4" w14:textId="77777777" w:rsidR="00C160EB" w:rsidRDefault="00C160EB" w:rsidP="00C160EB">
            <w:r>
              <w:t>2020–21 — State and territory by:</w:t>
            </w:r>
          </w:p>
          <w:p w14:paraId="7CCCB9DF" w14:textId="4B4F3235" w:rsidR="00C160EB" w:rsidRDefault="00C160EB" w:rsidP="00C160EB">
            <w:pPr>
              <w:numPr>
                <w:ilvl w:val="0"/>
                <w:numId w:val="48"/>
              </w:numPr>
              <w:spacing w:before="0" w:after="0" w:line="240" w:lineRule="auto"/>
            </w:pPr>
            <w:r>
              <w:t>Sex.</w:t>
            </w:r>
          </w:p>
          <w:p w14:paraId="3846032E" w14:textId="77777777" w:rsidR="00C160EB" w:rsidRPr="00C160EB" w:rsidRDefault="00C160EB" w:rsidP="00C160EB">
            <w:pPr>
              <w:pStyle w:val="AIHWbodytext"/>
              <w:rPr>
                <w:lang w:eastAsia="en-AU"/>
              </w:rPr>
            </w:pPr>
          </w:p>
          <w:p w14:paraId="3A7C2635" w14:textId="77777777" w:rsidR="00696CF0" w:rsidRDefault="00696CF0" w:rsidP="00A520B9">
            <w:r>
              <w:rPr>
                <w:b/>
                <w:color w:val="000000"/>
              </w:rPr>
              <w:t>Data Element / Data Set</w:t>
            </w:r>
          </w:p>
          <w:p w14:paraId="73709499" w14:textId="412752B3" w:rsidR="00696CF0" w:rsidRDefault="00696CF0" w:rsidP="00A520B9">
            <w:r>
              <w:rPr>
                <w:b/>
              </w:rPr>
              <w:t>Data Element</w:t>
            </w:r>
          </w:p>
          <w:p w14:paraId="296E04C9" w14:textId="77777777" w:rsidR="00C160EB" w:rsidRDefault="00C160EB" w:rsidP="00C160EB">
            <w:r>
              <w:t>NHHA priority homelessness cohorts - </w:t>
            </w:r>
            <w:hyperlink r:id="rId28" w:tooltip="For the purposes of the Priority homelessness cohort (NHHA B2 b), children and young people are individuals who are less than 25 years of age." w:history="1">
              <w:r>
                <w:rPr>
                  <w:rStyle w:val="Hyperlink"/>
                  <w:b/>
                </w:rPr>
                <w:t>children and young people</w:t>
              </w:r>
            </w:hyperlink>
          </w:p>
          <w:p w14:paraId="7CBA6DD4" w14:textId="77777777" w:rsidR="00C160EB" w:rsidRDefault="00C160EB" w:rsidP="00C160EB">
            <w:r>
              <w:t>Disaggregation</w:t>
            </w:r>
          </w:p>
          <w:p w14:paraId="171463EA" w14:textId="77777777" w:rsidR="00C160EB" w:rsidRDefault="00C160EB" w:rsidP="00C160EB">
            <w:r>
              <w:t>2020–21 — Nationally, by:</w:t>
            </w:r>
          </w:p>
          <w:p w14:paraId="0449D244" w14:textId="77777777" w:rsidR="00C160EB" w:rsidRDefault="00C160EB" w:rsidP="00C160EB">
            <w:pPr>
              <w:numPr>
                <w:ilvl w:val="0"/>
                <w:numId w:val="48"/>
              </w:numPr>
              <w:spacing w:before="0" w:after="0" w:line="240" w:lineRule="auto"/>
            </w:pPr>
            <w:r>
              <w:t>Sex.</w:t>
            </w:r>
          </w:p>
          <w:p w14:paraId="1F142E68" w14:textId="77777777" w:rsidR="00C160EB" w:rsidRDefault="00C160EB" w:rsidP="00C160EB">
            <w:r>
              <w:t>2020–21 — State and territory by:</w:t>
            </w:r>
          </w:p>
          <w:p w14:paraId="64450BFE" w14:textId="77777777" w:rsidR="00C160EB" w:rsidRDefault="00C160EB" w:rsidP="00C160EB">
            <w:pPr>
              <w:numPr>
                <w:ilvl w:val="0"/>
                <w:numId w:val="48"/>
              </w:numPr>
              <w:spacing w:before="0" w:after="0" w:line="240" w:lineRule="auto"/>
            </w:pPr>
            <w:r>
              <w:t>Sex.</w:t>
            </w:r>
          </w:p>
          <w:p w14:paraId="76C997E3" w14:textId="1BBFD57E" w:rsidR="00696CF0" w:rsidRDefault="00696CF0" w:rsidP="00A520B9"/>
        </w:tc>
      </w:tr>
      <w:tr w:rsidR="00696CF0" w14:paraId="75633E16" w14:textId="77777777" w:rsidTr="001C3FAD">
        <w:tc>
          <w:tcPr>
            <w:tcW w:w="2700" w:type="dxa"/>
          </w:tcPr>
          <w:p w14:paraId="36D4DD75" w14:textId="77777777" w:rsidR="00696CF0" w:rsidRDefault="00696CF0" w:rsidP="00A520B9">
            <w:r>
              <w:rPr>
                <w:rStyle w:val="row-heading"/>
              </w:rPr>
              <w:t>Comments:</w:t>
            </w:r>
          </w:p>
        </w:tc>
        <w:tc>
          <w:tcPr>
            <w:tcW w:w="6480" w:type="dxa"/>
          </w:tcPr>
          <w:p w14:paraId="625138E3" w14:textId="77777777" w:rsidR="00C160EB" w:rsidRDefault="00C160EB" w:rsidP="00C160EB">
            <w:r>
              <w:t>A client may have support periods from a single agency or multiple agencies. All support periods for a client are given consideration in the derivation of the indicator.</w:t>
            </w:r>
          </w:p>
          <w:p w14:paraId="100B345C" w14:textId="77777777" w:rsidR="00696CF0" w:rsidRDefault="00696CF0" w:rsidP="00A520B9">
            <w:r>
              <w:rPr>
                <w:b/>
              </w:rPr>
              <w:t>Exclusions</w:t>
            </w:r>
          </w:p>
          <w:p w14:paraId="18E45895" w14:textId="77777777" w:rsidR="00696CF0" w:rsidRDefault="00696CF0" w:rsidP="00A520B9">
            <w:r>
              <w:rPr>
                <w:b/>
              </w:rPr>
              <w:t>Clients excluded</w:t>
            </w:r>
          </w:p>
          <w:p w14:paraId="1B11F308" w14:textId="77777777" w:rsidR="00C160EB" w:rsidRDefault="00C160EB" w:rsidP="00C160EB">
            <w:r>
              <w:t>The following clients that commenced a support period at risk within the scope period are excluded from this indicator:</w:t>
            </w:r>
          </w:p>
          <w:p w14:paraId="1AA52B5D" w14:textId="77777777" w:rsidR="00C160EB" w:rsidRDefault="00C160EB" w:rsidP="00C160EB">
            <w:pPr>
              <w:numPr>
                <w:ilvl w:val="0"/>
                <w:numId w:val="48"/>
              </w:numPr>
              <w:spacing w:before="0" w:after="0" w:line="240" w:lineRule="auto"/>
            </w:pPr>
            <w:r>
              <w:t>A client with only one support period (that brings them in scope</w:t>
            </w:r>
            <w:proofErr w:type="gramStart"/>
            <w:r>
              <w:t>)</w:t>
            </w:r>
            <w:proofErr w:type="gramEnd"/>
            <w:r>
              <w:t xml:space="preserve"> and that support period ends after the 6-month follow up period. These clients are excluded as there is limited information to ascertain if the clients were assisted to avoid homelessness.</w:t>
            </w:r>
          </w:p>
          <w:p w14:paraId="4D7D3DC4" w14:textId="77777777" w:rsidR="00C160EB" w:rsidRDefault="00C160EB" w:rsidP="00C160EB">
            <w:pPr>
              <w:numPr>
                <w:ilvl w:val="0"/>
                <w:numId w:val="48"/>
              </w:numPr>
              <w:spacing w:before="0" w:after="0" w:line="240" w:lineRule="auto"/>
            </w:pPr>
            <w:r>
              <w:t xml:space="preserve">A client whose homeless status during the 6-month follow up period is always </w:t>
            </w:r>
            <w:r>
              <w:rPr>
                <w:i/>
              </w:rPr>
              <w:t>Not stated</w:t>
            </w:r>
            <w:r>
              <w:t>. These clients are excluded as there is limited information to ascertain if the services provided to the clients assisted them in avoiding homelessness.</w:t>
            </w:r>
          </w:p>
          <w:p w14:paraId="58B75DC5" w14:textId="77777777" w:rsidR="00C160EB" w:rsidRDefault="00C160EB" w:rsidP="00C160EB">
            <w:pPr>
              <w:numPr>
                <w:ilvl w:val="0"/>
                <w:numId w:val="48"/>
              </w:numPr>
              <w:spacing w:before="0" w:after="0" w:line="240" w:lineRule="auto"/>
            </w:pPr>
            <w:r>
              <w:t xml:space="preserve">A client with two or more support periods commencing on the same day; one of which is the </w:t>
            </w:r>
            <w:proofErr w:type="gramStart"/>
            <w:r>
              <w:t>at risk</w:t>
            </w:r>
            <w:proofErr w:type="gramEnd"/>
            <w:r>
              <w:t xml:space="preserve"> support period that brings the client into scope and the other homeless. These clients are excluded as their homeless status is ambiguous at time point 2, unless they have a subsequent </w:t>
            </w:r>
            <w:proofErr w:type="gramStart"/>
            <w:r>
              <w:t>at risk</w:t>
            </w:r>
            <w:proofErr w:type="gramEnd"/>
            <w:r>
              <w:t xml:space="preserve"> support period that subsequently brings them into scope.</w:t>
            </w:r>
          </w:p>
          <w:p w14:paraId="7DF26F43" w14:textId="77777777" w:rsidR="00696CF0" w:rsidRDefault="00696CF0" w:rsidP="00A520B9">
            <w:r>
              <w:rPr>
                <w:b/>
              </w:rPr>
              <w:t>Support periods excluded for in-scope clients</w:t>
            </w:r>
          </w:p>
          <w:p w14:paraId="37581FFD" w14:textId="77777777" w:rsidR="00C160EB" w:rsidRDefault="00C160EB" w:rsidP="00C160EB">
            <w:r>
              <w:t>There are certain support periods for in-scope clients that are excluded from the indicator calculations. These are:</w:t>
            </w:r>
          </w:p>
          <w:p w14:paraId="4AD000C1" w14:textId="77777777" w:rsidR="00C160EB" w:rsidRDefault="00C160EB" w:rsidP="00C160EB">
            <w:pPr>
              <w:numPr>
                <w:ilvl w:val="0"/>
                <w:numId w:val="48"/>
              </w:numPr>
              <w:spacing w:before="0" w:after="0" w:line="240" w:lineRule="auto"/>
            </w:pPr>
            <w:r>
              <w:t>Support periods provided by central intake services where those services do not provide direct services to clients.</w:t>
            </w:r>
          </w:p>
          <w:p w14:paraId="28B9CFC5" w14:textId="77777777" w:rsidR="00C160EB" w:rsidRDefault="00C160EB" w:rsidP="00C160EB">
            <w:pPr>
              <w:numPr>
                <w:ilvl w:val="0"/>
                <w:numId w:val="48"/>
              </w:numPr>
              <w:spacing w:before="0" w:after="0" w:line="240" w:lineRule="auto"/>
            </w:pPr>
            <w:r>
              <w:t>A support period that was ongoing at the time point that the client became in-scope. This support period is excluded as it does not reflect whether the services provided to the client during the 6-month follow up period after an at-risk assessment assisted in them avoiding homelessness.</w:t>
            </w:r>
          </w:p>
          <w:p w14:paraId="3E45A67C" w14:textId="77777777" w:rsidR="00696CF0" w:rsidRDefault="00696CF0" w:rsidP="00A520B9">
            <w:r>
              <w:rPr>
                <w:b/>
              </w:rPr>
              <w:t>Homelessness assessment points excluded for in-scope clients</w:t>
            </w:r>
          </w:p>
          <w:p w14:paraId="44A34B34" w14:textId="77777777" w:rsidR="00C160EB" w:rsidRDefault="00C160EB" w:rsidP="00C160EB">
            <w:r>
              <w:t>Some support period time points (2 or 4) are not considered when calculating the numerator for an in-scope client. These are:</w:t>
            </w:r>
          </w:p>
          <w:p w14:paraId="4788E8AD" w14:textId="77777777" w:rsidR="00C160EB" w:rsidRDefault="00C160EB" w:rsidP="00C160EB">
            <w:pPr>
              <w:numPr>
                <w:ilvl w:val="0"/>
                <w:numId w:val="48"/>
              </w:numPr>
              <w:spacing w:before="0" w:after="0" w:line="240" w:lineRule="auto"/>
            </w:pPr>
            <w:r>
              <w:t xml:space="preserve">The time point 2 for </w:t>
            </w:r>
            <w:proofErr w:type="gramStart"/>
            <w:r>
              <w:t>At</w:t>
            </w:r>
            <w:proofErr w:type="gramEnd"/>
            <w:r>
              <w:t xml:space="preserve"> risk support period(s) that commence on the same day as the in-scope At risk support period.</w:t>
            </w:r>
          </w:p>
          <w:p w14:paraId="3B9FAE31" w14:textId="77777777" w:rsidR="00696CF0" w:rsidRDefault="00696CF0" w:rsidP="00A520B9">
            <w:r>
              <w:rPr>
                <w:b/>
              </w:rPr>
              <w:t>Data collection</w:t>
            </w:r>
          </w:p>
          <w:p w14:paraId="77EA5F9F" w14:textId="7D4BBF8E" w:rsidR="00696CF0" w:rsidRDefault="00C160EB" w:rsidP="00A520B9">
            <w:r>
              <w:t>Data are collected monthly from agencies participating in the collection. All agencies that receive funding under the NHHA (previously the NAHA or the NPAH) to provide specialist homelessness services are in scope for the SHSC, although some agencies are exempted from supplying data. Agencies submit data on the periods of support provided to clients.</w:t>
            </w:r>
          </w:p>
        </w:tc>
      </w:tr>
      <w:tr w:rsidR="00696CF0" w14:paraId="0A02BC0E" w14:textId="77777777" w:rsidTr="001C3FAD">
        <w:tc>
          <w:tcPr>
            <w:tcW w:w="9180" w:type="dxa"/>
            <w:gridSpan w:val="2"/>
          </w:tcPr>
          <w:p w14:paraId="7B51BE69" w14:textId="77777777" w:rsidR="00696CF0" w:rsidRDefault="00696CF0" w:rsidP="00A520B9">
            <w:pPr>
              <w:pStyle w:val="Heading4"/>
              <w:outlineLvl w:val="3"/>
            </w:pPr>
            <w:r>
              <w:t>Representational attributes</w:t>
            </w:r>
          </w:p>
        </w:tc>
      </w:tr>
      <w:tr w:rsidR="00696CF0" w14:paraId="64A7A832" w14:textId="77777777" w:rsidTr="001C3FAD">
        <w:tc>
          <w:tcPr>
            <w:tcW w:w="2700" w:type="dxa"/>
          </w:tcPr>
          <w:p w14:paraId="25F52CF2" w14:textId="77777777" w:rsidR="00696CF0" w:rsidRDefault="00696CF0" w:rsidP="00A520B9">
            <w:r>
              <w:rPr>
                <w:rStyle w:val="row-heading"/>
              </w:rPr>
              <w:t>Representation class:</w:t>
            </w:r>
          </w:p>
        </w:tc>
        <w:tc>
          <w:tcPr>
            <w:tcW w:w="6480" w:type="dxa"/>
          </w:tcPr>
          <w:p w14:paraId="49C9FACF" w14:textId="77777777" w:rsidR="00696CF0" w:rsidRDefault="00696CF0" w:rsidP="00A520B9">
            <w:r>
              <w:t>Percentage</w:t>
            </w:r>
          </w:p>
        </w:tc>
      </w:tr>
      <w:tr w:rsidR="00696CF0" w14:paraId="2DD488DF" w14:textId="77777777" w:rsidTr="001C3FAD">
        <w:tc>
          <w:tcPr>
            <w:tcW w:w="2700" w:type="dxa"/>
          </w:tcPr>
          <w:p w14:paraId="0EEC6D92" w14:textId="77777777" w:rsidR="00696CF0" w:rsidRDefault="00696CF0" w:rsidP="00A520B9">
            <w:r>
              <w:rPr>
                <w:rStyle w:val="row-heading"/>
              </w:rPr>
              <w:t>Data type:</w:t>
            </w:r>
          </w:p>
        </w:tc>
        <w:tc>
          <w:tcPr>
            <w:tcW w:w="6480" w:type="dxa"/>
          </w:tcPr>
          <w:p w14:paraId="1F3420A1" w14:textId="77777777" w:rsidR="00696CF0" w:rsidRDefault="00696CF0" w:rsidP="00A520B9">
            <w:r>
              <w:t>Real</w:t>
            </w:r>
          </w:p>
        </w:tc>
      </w:tr>
      <w:tr w:rsidR="00696CF0" w14:paraId="76ACDFFE" w14:textId="77777777" w:rsidTr="001C3FAD">
        <w:tc>
          <w:tcPr>
            <w:tcW w:w="2700" w:type="dxa"/>
          </w:tcPr>
          <w:p w14:paraId="4D939852" w14:textId="77777777" w:rsidR="00696CF0" w:rsidRDefault="00696CF0" w:rsidP="00A520B9">
            <w:r>
              <w:rPr>
                <w:rStyle w:val="row-heading"/>
              </w:rPr>
              <w:t>Unit of measure:</w:t>
            </w:r>
          </w:p>
        </w:tc>
        <w:tc>
          <w:tcPr>
            <w:tcW w:w="6480" w:type="dxa"/>
          </w:tcPr>
          <w:p w14:paraId="32475C4E" w14:textId="77777777" w:rsidR="00696CF0" w:rsidRDefault="00696CF0" w:rsidP="00A520B9">
            <w:r>
              <w:t>Person</w:t>
            </w:r>
          </w:p>
        </w:tc>
      </w:tr>
      <w:tr w:rsidR="00696CF0" w14:paraId="7AC13633" w14:textId="77777777" w:rsidTr="001C3FAD">
        <w:tc>
          <w:tcPr>
            <w:tcW w:w="2700" w:type="dxa"/>
          </w:tcPr>
          <w:p w14:paraId="611A144C" w14:textId="77777777" w:rsidR="00696CF0" w:rsidRDefault="00696CF0" w:rsidP="00A520B9">
            <w:r>
              <w:rPr>
                <w:rStyle w:val="row-heading"/>
              </w:rPr>
              <w:t>Format:</w:t>
            </w:r>
          </w:p>
        </w:tc>
        <w:tc>
          <w:tcPr>
            <w:tcW w:w="6480" w:type="dxa"/>
          </w:tcPr>
          <w:p w14:paraId="40899FB8" w14:textId="77777777" w:rsidR="00696CF0" w:rsidRDefault="00696CF0" w:rsidP="00A520B9">
            <w:r>
              <w:t>N[NN</w:t>
            </w:r>
            <w:proofErr w:type="gramStart"/>
            <w:r>
              <w:t>].N</w:t>
            </w:r>
            <w:proofErr w:type="gramEnd"/>
          </w:p>
        </w:tc>
      </w:tr>
      <w:tr w:rsidR="00696CF0" w14:paraId="50362CD7" w14:textId="77777777" w:rsidTr="001C3FAD">
        <w:tc>
          <w:tcPr>
            <w:tcW w:w="9180" w:type="dxa"/>
            <w:gridSpan w:val="2"/>
          </w:tcPr>
          <w:p w14:paraId="614932FE" w14:textId="77777777" w:rsidR="00696CF0" w:rsidRDefault="00696CF0" w:rsidP="00A520B9">
            <w:pPr>
              <w:pStyle w:val="Heading4"/>
              <w:outlineLvl w:val="3"/>
            </w:pPr>
            <w:r>
              <w:t>Data source attributes</w:t>
            </w:r>
          </w:p>
        </w:tc>
      </w:tr>
      <w:tr w:rsidR="00696CF0" w14:paraId="0F747ED5" w14:textId="77777777" w:rsidTr="001C3FAD">
        <w:tc>
          <w:tcPr>
            <w:tcW w:w="2700" w:type="dxa"/>
          </w:tcPr>
          <w:p w14:paraId="49630387" w14:textId="77777777" w:rsidR="00696CF0" w:rsidRDefault="00696CF0" w:rsidP="00A520B9">
            <w:r>
              <w:rPr>
                <w:rStyle w:val="row-heading"/>
              </w:rPr>
              <w:t>Data sources:</w:t>
            </w:r>
          </w:p>
        </w:tc>
        <w:tc>
          <w:tcPr>
            <w:tcW w:w="6480" w:type="dxa"/>
          </w:tcPr>
          <w:p w14:paraId="768B408F" w14:textId="77777777" w:rsidR="00696CF0" w:rsidRDefault="00696CF0" w:rsidP="00A520B9">
            <w:r>
              <w:rPr>
                <w:b/>
                <w:color w:val="000000"/>
              </w:rPr>
              <w:t>Data Source</w:t>
            </w:r>
          </w:p>
          <w:p w14:paraId="355F1999" w14:textId="77777777" w:rsidR="00C160EB" w:rsidRDefault="00761F8E" w:rsidP="00C160EB">
            <w:hyperlink r:id="rId29" w:history="1">
              <w:r w:rsidR="00C160EB">
                <w:rPr>
                  <w:rStyle w:val="Hyperlink"/>
                </w:rPr>
                <w:t>Specialist Homelessness Services Data Collection</w:t>
              </w:r>
            </w:hyperlink>
          </w:p>
          <w:p w14:paraId="3408054B" w14:textId="77777777" w:rsidR="00696CF0" w:rsidRDefault="00696CF0" w:rsidP="00A520B9">
            <w:r>
              <w:rPr>
                <w:b/>
              </w:rPr>
              <w:t>Frequency</w:t>
            </w:r>
          </w:p>
          <w:p w14:paraId="5628B45F" w14:textId="77777777" w:rsidR="00BF36ED" w:rsidRDefault="00BF36ED" w:rsidP="00BF36ED">
            <w:r>
              <w:t xml:space="preserve">Specialist Homelessness Services collect data on an ongoing basis and submit the data to the Australian Institute of Health and Welfare </w:t>
            </w:r>
            <w:proofErr w:type="gramStart"/>
            <w:r>
              <w:t>on a monthly basis</w:t>
            </w:r>
            <w:proofErr w:type="gramEnd"/>
            <w:r>
              <w:t>.</w:t>
            </w:r>
          </w:p>
          <w:p w14:paraId="1AE24FD1" w14:textId="1A8EAF3E" w:rsidR="00696CF0" w:rsidRDefault="00696CF0" w:rsidP="00A520B9">
            <w:r>
              <w:rPr>
                <w:b/>
              </w:rPr>
              <w:t>Data custodian</w:t>
            </w:r>
          </w:p>
          <w:p w14:paraId="427B4E37" w14:textId="7927B34E" w:rsidR="00696CF0" w:rsidRDefault="00696CF0" w:rsidP="00A520B9">
            <w:r>
              <w:t>Australian Institute of Health and Welfare</w:t>
            </w:r>
          </w:p>
        </w:tc>
      </w:tr>
      <w:tr w:rsidR="00696CF0" w14:paraId="3F70B5F0" w14:textId="77777777" w:rsidTr="001C3FAD">
        <w:tc>
          <w:tcPr>
            <w:tcW w:w="9180" w:type="dxa"/>
            <w:gridSpan w:val="2"/>
          </w:tcPr>
          <w:p w14:paraId="0332659C" w14:textId="77777777" w:rsidR="00696CF0" w:rsidRDefault="00696CF0" w:rsidP="00A520B9">
            <w:pPr>
              <w:pStyle w:val="Heading4"/>
              <w:outlineLvl w:val="3"/>
            </w:pPr>
            <w:r>
              <w:t>Accountability attributes</w:t>
            </w:r>
          </w:p>
        </w:tc>
      </w:tr>
      <w:tr w:rsidR="00696CF0" w14:paraId="59A7A47A" w14:textId="77777777" w:rsidTr="001C3FAD">
        <w:tc>
          <w:tcPr>
            <w:tcW w:w="2700" w:type="dxa"/>
          </w:tcPr>
          <w:p w14:paraId="62008EBB" w14:textId="77777777" w:rsidR="00696CF0" w:rsidRDefault="00696CF0" w:rsidP="00A520B9">
            <w:r>
              <w:rPr>
                <w:rStyle w:val="row-heading"/>
              </w:rPr>
              <w:t>Reporting requirements:</w:t>
            </w:r>
          </w:p>
        </w:tc>
        <w:tc>
          <w:tcPr>
            <w:tcW w:w="6480" w:type="dxa"/>
          </w:tcPr>
          <w:p w14:paraId="4A7084E8" w14:textId="77777777" w:rsidR="00696CF0" w:rsidRDefault="00696CF0" w:rsidP="00A520B9">
            <w:r>
              <w:t>Agency supplied data.</w:t>
            </w:r>
          </w:p>
        </w:tc>
      </w:tr>
      <w:tr w:rsidR="00696CF0" w14:paraId="0C310FE3" w14:textId="77777777" w:rsidTr="001C3FAD">
        <w:tc>
          <w:tcPr>
            <w:tcW w:w="2700" w:type="dxa"/>
          </w:tcPr>
          <w:p w14:paraId="0F5DC141" w14:textId="77777777" w:rsidR="00696CF0" w:rsidRDefault="00696CF0" w:rsidP="00A520B9">
            <w:r>
              <w:rPr>
                <w:rStyle w:val="row-heading"/>
              </w:rPr>
              <w:t>Organisation responsible for providing data:</w:t>
            </w:r>
          </w:p>
        </w:tc>
        <w:tc>
          <w:tcPr>
            <w:tcW w:w="6480" w:type="dxa"/>
          </w:tcPr>
          <w:p w14:paraId="1ACB816E" w14:textId="77777777" w:rsidR="00696CF0" w:rsidRDefault="00696CF0" w:rsidP="00A520B9">
            <w:r>
              <w:t>Specialist homelessness services agencies.</w:t>
            </w:r>
          </w:p>
        </w:tc>
      </w:tr>
      <w:tr w:rsidR="00696CF0" w14:paraId="7CE0631D" w14:textId="77777777" w:rsidTr="001C3FAD">
        <w:tc>
          <w:tcPr>
            <w:tcW w:w="2700" w:type="dxa"/>
          </w:tcPr>
          <w:p w14:paraId="513B3069" w14:textId="77777777" w:rsidR="00696CF0" w:rsidRDefault="00696CF0" w:rsidP="00A520B9">
            <w:r>
              <w:rPr>
                <w:rStyle w:val="row-heading"/>
              </w:rPr>
              <w:t>Accountability:</w:t>
            </w:r>
          </w:p>
        </w:tc>
        <w:tc>
          <w:tcPr>
            <w:tcW w:w="6480" w:type="dxa"/>
          </w:tcPr>
          <w:p w14:paraId="66BD07C8" w14:textId="77777777" w:rsidR="00696CF0" w:rsidRDefault="00696CF0" w:rsidP="00A520B9">
            <w:r>
              <w:t>Australian Institute of Health and Welfare</w:t>
            </w:r>
          </w:p>
        </w:tc>
      </w:tr>
      <w:tr w:rsidR="00696CF0" w14:paraId="1266BE77" w14:textId="77777777" w:rsidTr="001C3FAD">
        <w:tc>
          <w:tcPr>
            <w:tcW w:w="9180" w:type="dxa"/>
            <w:gridSpan w:val="2"/>
          </w:tcPr>
          <w:p w14:paraId="4747391C" w14:textId="77777777" w:rsidR="00696CF0" w:rsidRDefault="00696CF0" w:rsidP="00A520B9">
            <w:pPr>
              <w:pStyle w:val="Heading4"/>
              <w:outlineLvl w:val="3"/>
            </w:pPr>
            <w:r>
              <w:t>Source and reference attributes</w:t>
            </w:r>
          </w:p>
        </w:tc>
      </w:tr>
      <w:tr w:rsidR="00696CF0" w14:paraId="424FB1C4" w14:textId="77777777" w:rsidTr="001C3FAD">
        <w:tc>
          <w:tcPr>
            <w:tcW w:w="2700" w:type="dxa"/>
          </w:tcPr>
          <w:p w14:paraId="0AA5A62A" w14:textId="77777777" w:rsidR="00696CF0" w:rsidRDefault="00696CF0" w:rsidP="00A520B9">
            <w:r>
              <w:rPr>
                <w:rStyle w:val="row-heading"/>
              </w:rPr>
              <w:t>Submitting organisation:</w:t>
            </w:r>
          </w:p>
        </w:tc>
        <w:tc>
          <w:tcPr>
            <w:tcW w:w="6480" w:type="dxa"/>
          </w:tcPr>
          <w:p w14:paraId="0FE43EF3" w14:textId="77777777" w:rsidR="00696CF0" w:rsidRDefault="00696CF0" w:rsidP="00A520B9">
            <w:r>
              <w:t>Australian Institute of Health and Welfare</w:t>
            </w:r>
          </w:p>
        </w:tc>
      </w:tr>
      <w:tr w:rsidR="00696CF0" w14:paraId="1658F845" w14:textId="77777777" w:rsidTr="001C3FAD">
        <w:tc>
          <w:tcPr>
            <w:tcW w:w="2700" w:type="dxa"/>
          </w:tcPr>
          <w:p w14:paraId="06637C9B" w14:textId="77777777" w:rsidR="00696CF0" w:rsidRDefault="00696CF0" w:rsidP="00A520B9">
            <w:r>
              <w:rPr>
                <w:rStyle w:val="row-heading"/>
              </w:rPr>
              <w:t>Reference documents:</w:t>
            </w:r>
          </w:p>
        </w:tc>
        <w:tc>
          <w:tcPr>
            <w:tcW w:w="6480" w:type="dxa"/>
          </w:tcPr>
          <w:p w14:paraId="31AFF5F7" w14:textId="77777777" w:rsidR="00696CF0" w:rsidRDefault="00696CF0" w:rsidP="00A520B9">
            <w:r>
              <w:rPr>
                <w:i/>
              </w:rPr>
              <w:t>CFFR (Council on Federal Financial Relations) 2018. National Housing and Homelessness Agreement 2018. Council on Federal Financial Relations, Canberra. Viewed 15 October 2021,</w:t>
            </w:r>
          </w:p>
          <w:p w14:paraId="467BCC49" w14:textId="77777777" w:rsidR="00696CF0" w:rsidRDefault="00761F8E" w:rsidP="00A520B9">
            <w:hyperlink r:id="rId30" w:history="1">
              <w:r w:rsidR="00696CF0">
                <w:rPr>
                  <w:rStyle w:val="Hyperlink"/>
                </w:rPr>
                <w:t>The National Housing and Homelessness Agreement | Federal Financial Relations</w:t>
              </w:r>
            </w:hyperlink>
          </w:p>
        </w:tc>
      </w:tr>
      <w:tr w:rsidR="00696CF0" w14:paraId="221432FB" w14:textId="77777777" w:rsidTr="001C3FAD">
        <w:tc>
          <w:tcPr>
            <w:tcW w:w="9180" w:type="dxa"/>
            <w:gridSpan w:val="2"/>
          </w:tcPr>
          <w:p w14:paraId="6E392A2F" w14:textId="77777777" w:rsidR="00696CF0" w:rsidRDefault="00696CF0" w:rsidP="00A520B9">
            <w:pPr>
              <w:pStyle w:val="Heading3"/>
              <w:outlineLvl w:val="2"/>
            </w:pPr>
            <w:r>
              <w:t>Relational attributes</w:t>
            </w:r>
          </w:p>
        </w:tc>
      </w:tr>
      <w:tr w:rsidR="00BF36ED" w14:paraId="7BDD6BF5" w14:textId="77777777" w:rsidTr="001C3FAD">
        <w:tc>
          <w:tcPr>
            <w:tcW w:w="2700" w:type="dxa"/>
          </w:tcPr>
          <w:p w14:paraId="7BF47BDB" w14:textId="77777777" w:rsidR="00BF36ED" w:rsidRDefault="00BF36ED" w:rsidP="00BF36ED">
            <w:r>
              <w:rPr>
                <w:rStyle w:val="row-heading"/>
              </w:rPr>
              <w:t>Related metadata references:</w:t>
            </w:r>
          </w:p>
        </w:tc>
        <w:tc>
          <w:tcPr>
            <w:tcW w:w="6480" w:type="dxa"/>
          </w:tcPr>
          <w:p w14:paraId="08FC3A55" w14:textId="77777777" w:rsidR="00BF36ED" w:rsidRDefault="00BF36ED" w:rsidP="00BF36ED">
            <w:r>
              <w:t xml:space="preserve">See also </w:t>
            </w:r>
          </w:p>
          <w:p w14:paraId="5CD53EF7" w14:textId="4F567FF5" w:rsidR="00BF36ED" w:rsidRDefault="00761F8E" w:rsidP="00BF36ED">
            <w:hyperlink r:id="rId31" w:history="1">
              <w:r w:rsidR="00BF36ED">
                <w:rPr>
                  <w:rStyle w:val="Hyperlink"/>
                </w:rPr>
                <w:t>National Performance Indicators for the National Housing and Homelessness Agreement – The proportion of people who are at risk of homelessness that receive assistance to avoid homelessness, (Service level), 2021</w:t>
              </w:r>
            </w:hyperlink>
            <w:r w:rsidR="00BF36ED">
              <w:rPr>
                <w:i/>
              </w:rPr>
              <w:t xml:space="preserve"> No registration status</w:t>
            </w:r>
            <w:r w:rsidR="00BF36ED">
              <w:br/>
            </w:r>
          </w:p>
        </w:tc>
      </w:tr>
      <w:tr w:rsidR="00696CF0" w14:paraId="6BE6D869" w14:textId="77777777" w:rsidTr="001C3FAD">
        <w:tc>
          <w:tcPr>
            <w:tcW w:w="9180" w:type="dxa"/>
            <w:gridSpan w:val="2"/>
          </w:tcPr>
          <w:p w14:paraId="78839B39" w14:textId="77777777" w:rsidR="00696CF0" w:rsidRDefault="00696CF0" w:rsidP="00A520B9">
            <w:pPr>
              <w:pStyle w:val="Heading4"/>
              <w:outlineLvl w:val="3"/>
            </w:pPr>
            <w:r>
              <w:t>Registry management attributes</w:t>
            </w:r>
          </w:p>
        </w:tc>
      </w:tr>
      <w:tr w:rsidR="00696CF0" w14:paraId="7F4B8ADA" w14:textId="77777777" w:rsidTr="001C3FAD">
        <w:tc>
          <w:tcPr>
            <w:tcW w:w="2700" w:type="dxa"/>
          </w:tcPr>
          <w:p w14:paraId="120913FB" w14:textId="77777777" w:rsidR="00696CF0" w:rsidRDefault="00696CF0" w:rsidP="00A520B9">
            <w:r>
              <w:rPr>
                <w:rStyle w:val="row-heading"/>
              </w:rPr>
              <w:t>Created by:</w:t>
            </w:r>
          </w:p>
        </w:tc>
        <w:tc>
          <w:tcPr>
            <w:tcW w:w="6480" w:type="dxa"/>
          </w:tcPr>
          <w:p w14:paraId="015043F4" w14:textId="77777777" w:rsidR="00696CF0" w:rsidRDefault="00696CF0" w:rsidP="00A520B9">
            <w:r>
              <w:t>Kline Nazareth</w:t>
            </w:r>
          </w:p>
        </w:tc>
      </w:tr>
      <w:tr w:rsidR="00696CF0" w14:paraId="5B9E4324" w14:textId="77777777" w:rsidTr="001C3FAD">
        <w:tc>
          <w:tcPr>
            <w:tcW w:w="2700" w:type="dxa"/>
          </w:tcPr>
          <w:p w14:paraId="101ADBA3" w14:textId="77777777" w:rsidR="00696CF0" w:rsidRDefault="00696CF0" w:rsidP="00A520B9">
            <w:r>
              <w:rPr>
                <w:rStyle w:val="row-heading"/>
              </w:rPr>
              <w:t>Created date/time:</w:t>
            </w:r>
          </w:p>
        </w:tc>
        <w:tc>
          <w:tcPr>
            <w:tcW w:w="6480" w:type="dxa"/>
          </w:tcPr>
          <w:p w14:paraId="7168C6C4" w14:textId="77777777" w:rsidR="00696CF0" w:rsidRDefault="00696CF0" w:rsidP="00A520B9"/>
        </w:tc>
      </w:tr>
      <w:tr w:rsidR="00696CF0" w14:paraId="122BE6A3" w14:textId="77777777" w:rsidTr="001C3FAD">
        <w:tc>
          <w:tcPr>
            <w:tcW w:w="2700" w:type="dxa"/>
          </w:tcPr>
          <w:p w14:paraId="61829252" w14:textId="77777777" w:rsidR="00696CF0" w:rsidRDefault="00696CF0" w:rsidP="00A520B9">
            <w:r>
              <w:rPr>
                <w:rStyle w:val="row-heading"/>
              </w:rPr>
              <w:t>Last updated by:</w:t>
            </w:r>
          </w:p>
        </w:tc>
        <w:tc>
          <w:tcPr>
            <w:tcW w:w="6480" w:type="dxa"/>
          </w:tcPr>
          <w:p w14:paraId="69343040" w14:textId="77777777" w:rsidR="00696CF0" w:rsidRDefault="00696CF0" w:rsidP="00A520B9">
            <w:r>
              <w:t>Kline Nazareth</w:t>
            </w:r>
          </w:p>
        </w:tc>
      </w:tr>
      <w:tr w:rsidR="00696CF0" w14:paraId="06E6C80F" w14:textId="77777777" w:rsidTr="001C3FAD">
        <w:tc>
          <w:tcPr>
            <w:tcW w:w="2700" w:type="dxa"/>
          </w:tcPr>
          <w:p w14:paraId="393BB775" w14:textId="77777777" w:rsidR="00696CF0" w:rsidRDefault="00696CF0" w:rsidP="00A520B9">
            <w:r>
              <w:rPr>
                <w:rStyle w:val="row-heading"/>
              </w:rPr>
              <w:t>Last updated date/time:</w:t>
            </w:r>
          </w:p>
        </w:tc>
        <w:tc>
          <w:tcPr>
            <w:tcW w:w="6480" w:type="dxa"/>
          </w:tcPr>
          <w:p w14:paraId="42F9DED7" w14:textId="77777777" w:rsidR="00696CF0" w:rsidRDefault="00696CF0" w:rsidP="00A520B9"/>
        </w:tc>
      </w:tr>
      <w:tr w:rsidR="00696CF0" w14:paraId="71F13EEB" w14:textId="77777777" w:rsidTr="001C3FAD">
        <w:tc>
          <w:tcPr>
            <w:tcW w:w="2700" w:type="dxa"/>
          </w:tcPr>
          <w:p w14:paraId="5E9594C8" w14:textId="77777777" w:rsidR="00696CF0" w:rsidRDefault="00696CF0" w:rsidP="00A520B9">
            <w:r>
              <w:rPr>
                <w:rStyle w:val="row-heading"/>
              </w:rPr>
              <w:t>Workgroup:</w:t>
            </w:r>
          </w:p>
        </w:tc>
        <w:tc>
          <w:tcPr>
            <w:tcW w:w="6480" w:type="dxa"/>
          </w:tcPr>
          <w:p w14:paraId="2B799260" w14:textId="77777777" w:rsidR="00696CF0" w:rsidRDefault="00696CF0" w:rsidP="00A520B9">
            <w:r>
              <w:t>AIHW Homelessness Reporting and Data Development workgroup</w:t>
            </w:r>
          </w:p>
        </w:tc>
      </w:tr>
    </w:tbl>
    <w:p w14:paraId="09309894" w14:textId="089DDBBE" w:rsidR="00696CF0" w:rsidRDefault="00696CF0" w:rsidP="00696CF0">
      <w:pPr>
        <w:pStyle w:val="AIHWbodytext"/>
        <w:rPr>
          <w:lang w:eastAsia="en-AU"/>
        </w:rPr>
      </w:pPr>
    </w:p>
    <w:p w14:paraId="27DF9747" w14:textId="77777777" w:rsidR="00696CF0" w:rsidRDefault="00696CF0">
      <w:pPr>
        <w:spacing w:before="0" w:after="0" w:line="240" w:lineRule="auto"/>
        <w:rPr>
          <w:b/>
          <w:sz w:val="32"/>
          <w:szCs w:val="20"/>
        </w:rPr>
      </w:pPr>
      <w:bookmarkStart w:id="2" w:name="750434_National_Performance_Indicators_f"/>
      <w:r>
        <w:rPr>
          <w:b/>
          <w:sz w:val="32"/>
          <w:szCs w:val="20"/>
        </w:rPr>
        <w:br w:type="page"/>
      </w:r>
    </w:p>
    <w:p w14:paraId="335C0D1B" w14:textId="47BB54F6" w:rsidR="009815AA" w:rsidRDefault="009815AA" w:rsidP="009815AA">
      <w:pPr>
        <w:pBdr>
          <w:top w:val="single" w:sz="18" w:space="1" w:color="auto"/>
          <w:bottom w:val="single" w:sz="18" w:space="1" w:color="auto"/>
        </w:pBdr>
        <w:spacing w:before="40" w:after="40" w:line="240" w:lineRule="auto"/>
        <w:rPr>
          <w:b/>
          <w:sz w:val="32"/>
          <w:szCs w:val="20"/>
        </w:rPr>
      </w:pPr>
      <w:r w:rsidRPr="009815AA">
        <w:rPr>
          <w:b/>
          <w:sz w:val="32"/>
          <w:szCs w:val="20"/>
        </w:rPr>
        <w:t>National Performance Indicators for the National Housing and Homelessness Agreement – The proportion of people who are at risk of homelessness that receive assistance to avoid homelessness, (Service level), 2021</w:t>
      </w:r>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6370"/>
      </w:tblGrid>
      <w:tr w:rsidR="00696CF0" w14:paraId="6E9F886D" w14:textId="77777777" w:rsidTr="00A520B9">
        <w:tc>
          <w:tcPr>
            <w:tcW w:w="0" w:type="auto"/>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6154"/>
            </w:tblGrid>
            <w:tr w:rsidR="00C4680F" w14:paraId="0332F7F3" w14:textId="77777777" w:rsidTr="008F58EE">
              <w:tc>
                <w:tcPr>
                  <w:tcW w:w="0" w:type="auto"/>
                  <w:gridSpan w:val="2"/>
                </w:tcPr>
                <w:p w14:paraId="48C330C6" w14:textId="77777777" w:rsidR="00C4680F" w:rsidRDefault="00C4680F" w:rsidP="00C4680F">
                  <w:pPr>
                    <w:pStyle w:val="Heading4"/>
                    <w:outlineLvl w:val="3"/>
                  </w:pPr>
                  <w:r>
                    <w:t>Identifying and definitional attributes</w:t>
                  </w:r>
                </w:p>
              </w:tc>
            </w:tr>
            <w:tr w:rsidR="00C4680F" w14:paraId="21A319C4" w14:textId="77777777" w:rsidTr="008F58EE">
              <w:tc>
                <w:tcPr>
                  <w:tcW w:w="2700" w:type="dxa"/>
                </w:tcPr>
                <w:p w14:paraId="555ECB7D" w14:textId="77777777" w:rsidR="00C4680F" w:rsidRDefault="00C4680F" w:rsidP="00C4680F">
                  <w:r>
                    <w:rPr>
                      <w:rStyle w:val="row-heading"/>
                    </w:rPr>
                    <w:t>Metadata item type:</w:t>
                  </w:r>
                </w:p>
              </w:tc>
              <w:tc>
                <w:tcPr>
                  <w:tcW w:w="0" w:type="auto"/>
                </w:tcPr>
                <w:p w14:paraId="30B16CAE" w14:textId="77777777" w:rsidR="00C4680F" w:rsidRDefault="00C4680F" w:rsidP="00C4680F">
                  <w:r>
                    <w:t>Indicator</w:t>
                  </w:r>
                </w:p>
              </w:tc>
            </w:tr>
            <w:tr w:rsidR="00C4680F" w14:paraId="4756477D" w14:textId="77777777" w:rsidTr="008F58EE">
              <w:tc>
                <w:tcPr>
                  <w:tcW w:w="2700" w:type="dxa"/>
                </w:tcPr>
                <w:p w14:paraId="092043C8" w14:textId="77777777" w:rsidR="00C4680F" w:rsidRDefault="00C4680F" w:rsidP="00C4680F">
                  <w:r>
                    <w:rPr>
                      <w:rStyle w:val="row-heading"/>
                    </w:rPr>
                    <w:t>Indicator type:</w:t>
                  </w:r>
                </w:p>
              </w:tc>
              <w:tc>
                <w:tcPr>
                  <w:tcW w:w="0" w:type="auto"/>
                </w:tcPr>
                <w:p w14:paraId="35D4FF63" w14:textId="77777777" w:rsidR="00C4680F" w:rsidRDefault="00C4680F" w:rsidP="00C4680F">
                  <w:r>
                    <w:t>Indicator</w:t>
                  </w:r>
                </w:p>
              </w:tc>
            </w:tr>
            <w:tr w:rsidR="00C4680F" w14:paraId="21547B02" w14:textId="77777777" w:rsidTr="008F58EE">
              <w:tc>
                <w:tcPr>
                  <w:tcW w:w="2700" w:type="dxa"/>
                </w:tcPr>
                <w:p w14:paraId="54016E09" w14:textId="77777777" w:rsidR="00C4680F" w:rsidRDefault="00C4680F" w:rsidP="00C4680F">
                  <w:r>
                    <w:rPr>
                      <w:rStyle w:val="row-heading"/>
                    </w:rPr>
                    <w:t>Short name:</w:t>
                  </w:r>
                </w:p>
              </w:tc>
              <w:tc>
                <w:tcPr>
                  <w:tcW w:w="0" w:type="auto"/>
                </w:tcPr>
                <w:p w14:paraId="55E73120" w14:textId="77777777" w:rsidR="00C4680F" w:rsidRDefault="00C4680F" w:rsidP="00C4680F">
                  <w:r>
                    <w:t>NPI NHHA: At risk people that receive assistance to avoid homelessness (Service level).</w:t>
                  </w:r>
                </w:p>
              </w:tc>
            </w:tr>
            <w:tr w:rsidR="00C4680F" w14:paraId="5A51270A" w14:textId="77777777" w:rsidTr="008F58EE">
              <w:tc>
                <w:tcPr>
                  <w:tcW w:w="2700" w:type="dxa"/>
                </w:tcPr>
                <w:p w14:paraId="40FFC229" w14:textId="77777777" w:rsidR="00C4680F" w:rsidRDefault="00C4680F" w:rsidP="00C4680F">
                  <w:r>
                    <w:rPr>
                      <w:rStyle w:val="row-heading"/>
                    </w:rPr>
                    <w:t>METEOR identifier:</w:t>
                  </w:r>
                </w:p>
              </w:tc>
              <w:tc>
                <w:tcPr>
                  <w:tcW w:w="0" w:type="auto"/>
                </w:tcPr>
                <w:p w14:paraId="2EC86ED8" w14:textId="77777777" w:rsidR="00C4680F" w:rsidRDefault="00C4680F" w:rsidP="00C4680F">
                  <w:r>
                    <w:t>750434</w:t>
                  </w:r>
                </w:p>
              </w:tc>
            </w:tr>
            <w:tr w:rsidR="00C4680F" w14:paraId="2523777A" w14:textId="77777777" w:rsidTr="008F58EE">
              <w:tc>
                <w:tcPr>
                  <w:tcW w:w="2700" w:type="dxa"/>
                </w:tcPr>
                <w:p w14:paraId="76538AEA" w14:textId="77777777" w:rsidR="00C4680F" w:rsidRDefault="00C4680F" w:rsidP="00C4680F">
                  <w:r>
                    <w:rPr>
                      <w:rStyle w:val="row-heading"/>
                    </w:rPr>
                    <w:t>Registration status:</w:t>
                  </w:r>
                </w:p>
              </w:tc>
              <w:tc>
                <w:tcPr>
                  <w:tcW w:w="0" w:type="auto"/>
                </w:tcPr>
                <w:p w14:paraId="7E051C81" w14:textId="77777777" w:rsidR="00C4680F" w:rsidRDefault="00C4680F" w:rsidP="00C4680F">
                  <w:pPr>
                    <w:numPr>
                      <w:ilvl w:val="0"/>
                      <w:numId w:val="48"/>
                    </w:numPr>
                    <w:spacing w:before="0" w:after="0" w:line="240" w:lineRule="auto"/>
                  </w:pPr>
                  <w:r>
                    <w:rPr>
                      <w:i/>
                    </w:rPr>
                    <w:t>No registration status</w:t>
                  </w:r>
                </w:p>
              </w:tc>
            </w:tr>
            <w:tr w:rsidR="00C4680F" w14:paraId="41D558DE" w14:textId="77777777" w:rsidTr="008F58EE">
              <w:tc>
                <w:tcPr>
                  <w:tcW w:w="2700" w:type="dxa"/>
                </w:tcPr>
                <w:p w14:paraId="5CAB4B7A" w14:textId="77777777" w:rsidR="00C4680F" w:rsidRDefault="00C4680F" w:rsidP="00C4680F">
                  <w:r>
                    <w:rPr>
                      <w:rStyle w:val="row-heading"/>
                    </w:rPr>
                    <w:t>Description:</w:t>
                  </w:r>
                </w:p>
              </w:tc>
              <w:tc>
                <w:tcPr>
                  <w:tcW w:w="0" w:type="auto"/>
                </w:tcPr>
                <w:p w14:paraId="327B5E17" w14:textId="77777777" w:rsidR="00C4680F" w:rsidRDefault="00C4680F" w:rsidP="00C4680F">
                  <w:r>
                    <w:t xml:space="preserve">The proportion of </w:t>
                  </w:r>
                  <w:hyperlink r:id="rId32" w:tooltip="A period of time a client received services from a specialist homelessness agency. It commences on the day a person becomes a client by receiving a direct service from an agency and it ends on the last day on which services are last provided. " w:history="1">
                    <w:r>
                      <w:rPr>
                        <w:rStyle w:val="Hyperlink"/>
                        <w:b/>
                      </w:rPr>
                      <w:t>support periods</w:t>
                    </w:r>
                  </w:hyperlink>
                  <w:r>
                    <w:t xml:space="preserve"> in which people who are </w:t>
                  </w:r>
                  <w:hyperlink r:id="rId33" w:tooltip="All clients of specialist homelessness services are considered to be either homeless or at risk of homelessness. Homelessness and at-risk status is determined by the specific criteria described below using three aspects of a client’s housing situation:..." w:history="1">
                    <w:r>
                      <w:rPr>
                        <w:rStyle w:val="Hyperlink"/>
                        <w:b/>
                      </w:rPr>
                      <w:t>at risk</w:t>
                    </w:r>
                  </w:hyperlink>
                  <w:r>
                    <w:t xml:space="preserve"> of </w:t>
                  </w:r>
                  <w:hyperlink r:id="rId34" w:tooltip="A person is homeless if he or she does not have access to safe, secure and stable housing. Hence even if a person has a physical home, they would be considered homeless if:&#10;they were not safe at home,&#10;they had no legal right to continued occupation of..." w:history="1">
                    <w:r>
                      <w:rPr>
                        <w:rStyle w:val="Hyperlink"/>
                        <w:b/>
                      </w:rPr>
                      <w:t xml:space="preserve">homelessness </w:t>
                    </w:r>
                  </w:hyperlink>
                  <w:r>
                    <w:t xml:space="preserve">that receive </w:t>
                  </w:r>
                  <w:hyperlink r:id="rId35" w:tooltip="A specialist homelessness service is assistance provided by a specialist homelessness agency to a client aimed at responding to or preventing homelessness." w:history="1">
                    <w:r>
                      <w:rPr>
                        <w:rStyle w:val="Hyperlink"/>
                        <w:b/>
                      </w:rPr>
                      <w:t xml:space="preserve">assistance </w:t>
                    </w:r>
                  </w:hyperlink>
                  <w:r>
                    <w:t>to avoid homelessness</w:t>
                  </w:r>
                </w:p>
              </w:tc>
            </w:tr>
            <w:tr w:rsidR="00C4680F" w14:paraId="48CB0EFE" w14:textId="77777777" w:rsidTr="008F58EE">
              <w:tc>
                <w:tcPr>
                  <w:tcW w:w="2700" w:type="dxa"/>
                </w:tcPr>
                <w:p w14:paraId="30BF258D" w14:textId="77777777" w:rsidR="00C4680F" w:rsidRDefault="00C4680F" w:rsidP="00C4680F">
                  <w:r>
                    <w:rPr>
                      <w:rStyle w:val="row-heading"/>
                    </w:rPr>
                    <w:t>Rationale:</w:t>
                  </w:r>
                </w:p>
              </w:tc>
              <w:tc>
                <w:tcPr>
                  <w:tcW w:w="0" w:type="auto"/>
                </w:tcPr>
                <w:p w14:paraId="30105117" w14:textId="77777777" w:rsidR="00C4680F" w:rsidRDefault="00C4680F" w:rsidP="00C4680F">
                  <w:r>
                    <w:t xml:space="preserve">The National Housing and Homelessness Agreement (NHHA), which commenced in 2018, funds homelessness services with the objective of improving access to affordable, </w:t>
                  </w:r>
                  <w:proofErr w:type="gramStart"/>
                  <w:r>
                    <w:t>safe</w:t>
                  </w:r>
                  <w:proofErr w:type="gramEnd"/>
                  <w:r>
                    <w:t xml:space="preserve"> and sustainable housing across the housing spectrum from crisis housing to home ownership, including to prevent and address homelessness, and to support social and economic participation. The NHHA specifies the National Performance Indicators that assess and monitor the efficacy of homelessness services. There is a range of homelessness services across Australia; however, this indicator specification measures only those services delivered by SHS.</w:t>
                  </w:r>
                </w:p>
                <w:p w14:paraId="7D03A20A" w14:textId="77777777" w:rsidR="00C4680F" w:rsidRDefault="00C4680F" w:rsidP="00C4680F">
                  <w:r>
                    <w:t xml:space="preserve">The </w:t>
                  </w:r>
                  <w:proofErr w:type="gramStart"/>
                  <w:r>
                    <w:t>Indicator</w:t>
                  </w:r>
                  <w:proofErr w:type="gramEnd"/>
                  <w:r>
                    <w:t xml:space="preserve"> is calculated annually for each financial year.</w:t>
                  </w:r>
                </w:p>
                <w:p w14:paraId="0F6C4CCD" w14:textId="77777777" w:rsidR="00C4680F" w:rsidRDefault="00C4680F" w:rsidP="00C4680F">
                  <w:r>
                    <w:t xml:space="preserve">This indicator measures performance by analysing the extent to which a period of Specialist Homelessness Services (SHS) support successfully prevented homelessness for an </w:t>
                  </w:r>
                  <w:proofErr w:type="gramStart"/>
                  <w:r>
                    <w:t>at risk</w:t>
                  </w:r>
                  <w:proofErr w:type="gramEnd"/>
                  <w:r>
                    <w:t xml:space="preserve"> client.</w:t>
                  </w:r>
                </w:p>
              </w:tc>
            </w:tr>
            <w:tr w:rsidR="00C4680F" w14:paraId="07A8AE69" w14:textId="77777777" w:rsidTr="008F58EE">
              <w:tc>
                <w:tcPr>
                  <w:tcW w:w="2700" w:type="dxa"/>
                </w:tcPr>
                <w:p w14:paraId="310AFACB" w14:textId="77777777" w:rsidR="00C4680F" w:rsidRDefault="00C4680F" w:rsidP="00C4680F">
                  <w:r>
                    <w:rPr>
                      <w:rStyle w:val="row-heading"/>
                    </w:rPr>
                    <w:t>Indicator set:</w:t>
                  </w:r>
                </w:p>
              </w:tc>
              <w:tc>
                <w:tcPr>
                  <w:tcW w:w="0" w:type="auto"/>
                </w:tcPr>
                <w:p w14:paraId="0D441364" w14:textId="77777777" w:rsidR="00C4680F" w:rsidRDefault="00761F8E" w:rsidP="00C4680F">
                  <w:hyperlink r:id="rId36" w:history="1">
                    <w:r w:rsidR="00C4680F">
                      <w:rPr>
                        <w:rStyle w:val="Hyperlink"/>
                      </w:rPr>
                      <w:t>National Performance Indicators for the National Housing and Homelessness Agreement (2021)</w:t>
                    </w:r>
                  </w:hyperlink>
                </w:p>
              </w:tc>
            </w:tr>
            <w:tr w:rsidR="00C4680F" w14:paraId="34F9CD7F" w14:textId="77777777" w:rsidTr="008F58EE">
              <w:tc>
                <w:tcPr>
                  <w:tcW w:w="2700" w:type="dxa"/>
                </w:tcPr>
                <w:p w14:paraId="6D37A5C5" w14:textId="77777777" w:rsidR="00C4680F" w:rsidRDefault="00C4680F" w:rsidP="00C4680F">
                  <w:r>
                    <w:rPr>
                      <w:rStyle w:val="row-heading"/>
                    </w:rPr>
                    <w:t>Quality statement:</w:t>
                  </w:r>
                </w:p>
              </w:tc>
              <w:tc>
                <w:tcPr>
                  <w:tcW w:w="0" w:type="auto"/>
                </w:tcPr>
                <w:p w14:paraId="0ADF562E" w14:textId="77777777" w:rsidR="00C4680F" w:rsidRDefault="00761F8E" w:rsidP="00C4680F">
                  <w:hyperlink r:id="rId37" w:history="1">
                    <w:r w:rsidR="00C4680F">
                      <w:rPr>
                        <w:rStyle w:val="Hyperlink"/>
                      </w:rPr>
                      <w:t>Specialist Homelessness Services Collection, 2019–20; Quality Statement</w:t>
                    </w:r>
                  </w:hyperlink>
                  <w:r w:rsidR="00C4680F">
                    <w:t xml:space="preserve"> AIHW Data Quality Statements, Superseded 23/11/2021</w:t>
                  </w:r>
                </w:p>
              </w:tc>
            </w:tr>
          </w:tbl>
          <w:p w14:paraId="6E4D501C" w14:textId="77777777" w:rsidR="00C4680F" w:rsidRDefault="00C4680F" w:rsidP="00C4680F"/>
          <w:p w14:paraId="62303649" w14:textId="77777777" w:rsidR="00696CF0" w:rsidRDefault="00696CF0" w:rsidP="00A520B9">
            <w:pPr>
              <w:pStyle w:val="Heading4"/>
              <w:outlineLvl w:val="3"/>
            </w:pPr>
            <w:r>
              <w:t>Collection and usage attributes</w:t>
            </w:r>
          </w:p>
        </w:tc>
      </w:tr>
      <w:tr w:rsidR="00696CF0" w14:paraId="7E388EF2" w14:textId="77777777" w:rsidTr="00A520B9">
        <w:tc>
          <w:tcPr>
            <w:tcW w:w="2700" w:type="dxa"/>
          </w:tcPr>
          <w:p w14:paraId="7941ABBD" w14:textId="77777777" w:rsidR="00696CF0" w:rsidRDefault="00696CF0" w:rsidP="00A520B9">
            <w:r>
              <w:rPr>
                <w:rStyle w:val="row-heading"/>
              </w:rPr>
              <w:t>Computation description:</w:t>
            </w:r>
          </w:p>
        </w:tc>
        <w:tc>
          <w:tcPr>
            <w:tcW w:w="0" w:type="auto"/>
          </w:tcPr>
          <w:p w14:paraId="67667276" w14:textId="77777777" w:rsidR="00696CF0" w:rsidRDefault="00696CF0" w:rsidP="00A520B9">
            <w:r>
              <w:rPr>
                <w:b/>
              </w:rPr>
              <w:t>Coverage/Scope</w:t>
            </w:r>
          </w:p>
          <w:p w14:paraId="0CD855D1" w14:textId="77777777" w:rsidR="00C4680F" w:rsidRDefault="00C4680F" w:rsidP="00C4680F">
            <w:r>
              <w:t xml:space="preserve">The indicator is derived from support periods; the </w:t>
            </w:r>
            <w:proofErr w:type="gramStart"/>
            <w:r>
              <w:t>period of time</w:t>
            </w:r>
            <w:proofErr w:type="gramEnd"/>
            <w:r>
              <w:t xml:space="preserve"> during which a client is receiving SHS support. Within each support period, agencies collect client information that allows for the derivation of homeless status at numerous points in time:</w:t>
            </w:r>
          </w:p>
          <w:p w14:paraId="6260E979" w14:textId="77777777" w:rsidR="00C4680F" w:rsidRDefault="00C4680F" w:rsidP="00C4680F">
            <w:pPr>
              <w:numPr>
                <w:ilvl w:val="0"/>
                <w:numId w:val="50"/>
              </w:numPr>
              <w:spacing w:before="0" w:after="0" w:line="240" w:lineRule="auto"/>
            </w:pPr>
            <w:r>
              <w:t>A week before the client presents to the agency</w:t>
            </w:r>
          </w:p>
          <w:p w14:paraId="3AE9A9CA" w14:textId="77777777" w:rsidR="00C4680F" w:rsidRDefault="00C4680F" w:rsidP="00C4680F">
            <w:pPr>
              <w:numPr>
                <w:ilvl w:val="0"/>
                <w:numId w:val="50"/>
              </w:numPr>
              <w:spacing w:before="0" w:after="0" w:line="240" w:lineRule="auto"/>
            </w:pPr>
            <w:r>
              <w:rPr>
                <w:b/>
              </w:rPr>
              <w:t>At the time of presentation</w:t>
            </w:r>
          </w:p>
          <w:p w14:paraId="31237443" w14:textId="77777777" w:rsidR="00C4680F" w:rsidRDefault="00C4680F" w:rsidP="00C4680F">
            <w:pPr>
              <w:numPr>
                <w:ilvl w:val="0"/>
                <w:numId w:val="50"/>
              </w:numPr>
              <w:spacing w:before="0" w:after="0" w:line="240" w:lineRule="auto"/>
            </w:pPr>
            <w:r>
              <w:t>At the last service provision date of each month during support</w:t>
            </w:r>
          </w:p>
          <w:p w14:paraId="38300BED" w14:textId="77777777" w:rsidR="00C4680F" w:rsidRDefault="00C4680F" w:rsidP="00C4680F">
            <w:pPr>
              <w:numPr>
                <w:ilvl w:val="0"/>
                <w:numId w:val="50"/>
              </w:numPr>
              <w:spacing w:before="0" w:after="0" w:line="240" w:lineRule="auto"/>
            </w:pPr>
            <w:r>
              <w:rPr>
                <w:b/>
              </w:rPr>
              <w:t>At the end of the support period</w:t>
            </w:r>
          </w:p>
          <w:p w14:paraId="3DC0CAE5" w14:textId="77777777" w:rsidR="00C4680F" w:rsidRDefault="00C4680F" w:rsidP="00C4680F">
            <w:r>
              <w:t>Only points 2 and 4 are included in this indicator.</w:t>
            </w:r>
          </w:p>
          <w:p w14:paraId="3B059FDD" w14:textId="77777777" w:rsidR="00C4680F" w:rsidRDefault="00C4680F" w:rsidP="00C4680F">
            <w:r>
              <w:t>For a support period to be in scope the homeless status of the client must be known (that is, either at risk or homeless) at both points (2) and (4). If homeless status is unknown at either of the time points the support period is excluded from both the numerator and the denominator.</w:t>
            </w:r>
          </w:p>
          <w:p w14:paraId="61D2C517" w14:textId="77777777" w:rsidR="00C4680F" w:rsidRDefault="00C4680F" w:rsidP="00C4680F">
            <w:r>
              <w:t>Only closed support periods are included (those which have points 4 and 2 and derive a positive integer).</w:t>
            </w:r>
          </w:p>
          <w:p w14:paraId="6DDFDB18" w14:textId="77777777" w:rsidR="00C4680F" w:rsidRDefault="00C4680F" w:rsidP="00C4680F">
            <w:r>
              <w:t>Only support periods that start and end in the reporting period are included.</w:t>
            </w:r>
          </w:p>
          <w:p w14:paraId="35396F30" w14:textId="3FE51C75" w:rsidR="00696CF0" w:rsidRDefault="00C4680F" w:rsidP="00C4680F">
            <w:r>
              <w:t xml:space="preserve">The derivation for the homeless status of a client or a support period is described in Glossary item </w:t>
            </w:r>
            <w:hyperlink r:id="rId38" w:tooltip="All clients of specialist homelessness services are considered to be either homeless or at risk of homelessness. Homelessness and at-risk status is determined by the specific criteria described below using three aspects of a client’s housing situation:..." w:history="1">
              <w:r>
                <w:rPr>
                  <w:rStyle w:val="Hyperlink"/>
                  <w:b/>
                </w:rPr>
                <w:t>SHS Homeless status</w:t>
              </w:r>
            </w:hyperlink>
            <w:r>
              <w:t>.</w:t>
            </w:r>
          </w:p>
          <w:p w14:paraId="42CE44F7" w14:textId="77777777" w:rsidR="00696CF0" w:rsidRDefault="00696CF0" w:rsidP="00A520B9"/>
        </w:tc>
      </w:tr>
      <w:tr w:rsidR="00696CF0" w14:paraId="5EEC0C39" w14:textId="77777777" w:rsidTr="00A520B9">
        <w:tc>
          <w:tcPr>
            <w:tcW w:w="2700" w:type="dxa"/>
          </w:tcPr>
          <w:p w14:paraId="5AD0C43C" w14:textId="77777777" w:rsidR="00696CF0" w:rsidRDefault="00696CF0" w:rsidP="00A520B9">
            <w:r>
              <w:rPr>
                <w:rStyle w:val="row-heading"/>
              </w:rPr>
              <w:t>Computation:</w:t>
            </w:r>
          </w:p>
        </w:tc>
        <w:tc>
          <w:tcPr>
            <w:tcW w:w="0" w:type="auto"/>
          </w:tcPr>
          <w:p w14:paraId="16052869" w14:textId="77777777" w:rsidR="00696CF0" w:rsidRDefault="00696CF0" w:rsidP="00A520B9">
            <w:r>
              <w:t>(Numerator ÷ Denominator) x 100</w:t>
            </w:r>
          </w:p>
        </w:tc>
      </w:tr>
      <w:tr w:rsidR="00C4680F" w14:paraId="21447178" w14:textId="77777777" w:rsidTr="00A520B9">
        <w:tc>
          <w:tcPr>
            <w:tcW w:w="2700" w:type="dxa"/>
          </w:tcPr>
          <w:p w14:paraId="209DDCDF" w14:textId="77777777" w:rsidR="00C4680F" w:rsidRDefault="00C4680F" w:rsidP="00C4680F">
            <w:r>
              <w:rPr>
                <w:rStyle w:val="row-heading"/>
              </w:rPr>
              <w:t>Numerator:</w:t>
            </w:r>
          </w:p>
        </w:tc>
        <w:tc>
          <w:tcPr>
            <w:tcW w:w="0" w:type="auto"/>
          </w:tcPr>
          <w:p w14:paraId="632F1BA5" w14:textId="66C95A80" w:rsidR="00C4680F" w:rsidRDefault="00C4680F" w:rsidP="00C4680F">
            <w:r>
              <w:t>Number of support periods where the homeless status at presentation was at risk and the homeless status at the end of the support period was not homeless.</w:t>
            </w:r>
          </w:p>
        </w:tc>
      </w:tr>
      <w:tr w:rsidR="00696CF0" w14:paraId="1438B472" w14:textId="77777777" w:rsidTr="00A520B9">
        <w:tc>
          <w:tcPr>
            <w:tcW w:w="2700" w:type="dxa"/>
          </w:tcPr>
          <w:p w14:paraId="59C1CAFB" w14:textId="77777777" w:rsidR="00696CF0" w:rsidRDefault="00696CF0" w:rsidP="00A520B9">
            <w:r>
              <w:rPr>
                <w:rStyle w:val="row-heading"/>
              </w:rPr>
              <w:t>Numerator data elements:</w:t>
            </w:r>
          </w:p>
        </w:tc>
        <w:tc>
          <w:tcPr>
            <w:tcW w:w="0" w:type="auto"/>
          </w:tcPr>
          <w:p w14:paraId="7A94D679" w14:textId="77777777" w:rsidR="00696CF0" w:rsidRDefault="00696CF0" w:rsidP="00A520B9">
            <w:r>
              <w:rPr>
                <w:b/>
                <w:color w:val="000000"/>
              </w:rPr>
              <w:t>Data Element / Data Set</w:t>
            </w:r>
          </w:p>
          <w:p w14:paraId="5D0C504D" w14:textId="42FE91C4" w:rsidR="00696CF0" w:rsidRDefault="00696CF0" w:rsidP="00A520B9">
            <w:r>
              <w:rPr>
                <w:b/>
              </w:rPr>
              <w:t>Data Element</w:t>
            </w:r>
          </w:p>
          <w:p w14:paraId="7C4785FD" w14:textId="77777777" w:rsidR="000E20A6" w:rsidRDefault="000E20A6" w:rsidP="000E20A6">
            <w:r>
              <w:t>Homeless status at the end of support (derived)—not homeless</w:t>
            </w:r>
          </w:p>
          <w:p w14:paraId="130864BE" w14:textId="77777777" w:rsidR="00696CF0" w:rsidRDefault="00696CF0" w:rsidP="00A520B9">
            <w:r>
              <w:rPr>
                <w:b/>
              </w:rPr>
              <w:t>Data Source</w:t>
            </w:r>
          </w:p>
          <w:p w14:paraId="6BA7FBF2" w14:textId="77777777" w:rsidR="000E20A6" w:rsidRDefault="00761F8E" w:rsidP="000E20A6">
            <w:hyperlink r:id="rId39" w:history="1">
              <w:r w:rsidR="000E20A6">
                <w:rPr>
                  <w:rStyle w:val="Hyperlink"/>
                </w:rPr>
                <w:t>Specialist Homelessness Services Data Collection</w:t>
              </w:r>
            </w:hyperlink>
          </w:p>
          <w:p w14:paraId="5809DD83" w14:textId="77777777" w:rsidR="00696CF0" w:rsidRDefault="00696CF0" w:rsidP="00A520B9">
            <w:r>
              <w:rPr>
                <w:b/>
              </w:rPr>
              <w:t>NMDS / DSS</w:t>
            </w:r>
          </w:p>
          <w:p w14:paraId="0D83CC13" w14:textId="3C99DDA5" w:rsidR="00696CF0" w:rsidRDefault="00761F8E" w:rsidP="00A520B9">
            <w:hyperlink r:id="rId40" w:history="1">
              <w:r w:rsidR="000E20A6">
                <w:rPr>
                  <w:rStyle w:val="Hyperlink"/>
                </w:rPr>
                <w:t>Specialist Homelessness Services NMDS 2019-</w:t>
              </w:r>
            </w:hyperlink>
          </w:p>
        </w:tc>
      </w:tr>
      <w:tr w:rsidR="000E20A6" w14:paraId="65C5BE23" w14:textId="77777777" w:rsidTr="00A520B9">
        <w:tc>
          <w:tcPr>
            <w:tcW w:w="2700" w:type="dxa"/>
          </w:tcPr>
          <w:p w14:paraId="5E6F2E16" w14:textId="77777777" w:rsidR="000E20A6" w:rsidRDefault="000E20A6" w:rsidP="000E20A6">
            <w:r>
              <w:rPr>
                <w:rStyle w:val="row-heading"/>
              </w:rPr>
              <w:t>Denominator:</w:t>
            </w:r>
          </w:p>
        </w:tc>
        <w:tc>
          <w:tcPr>
            <w:tcW w:w="0" w:type="auto"/>
          </w:tcPr>
          <w:p w14:paraId="6A47F66E" w14:textId="62DA029C" w:rsidR="000E20A6" w:rsidRDefault="000E20A6" w:rsidP="000E20A6">
            <w:r>
              <w:t>Number of support periods where the homeless status at presentation was at risk.</w:t>
            </w:r>
          </w:p>
        </w:tc>
      </w:tr>
      <w:tr w:rsidR="00696CF0" w14:paraId="2F8A6CB5" w14:textId="77777777" w:rsidTr="00A520B9">
        <w:tc>
          <w:tcPr>
            <w:tcW w:w="2700" w:type="dxa"/>
          </w:tcPr>
          <w:p w14:paraId="6E1C3F4C" w14:textId="77777777" w:rsidR="00696CF0" w:rsidRDefault="00696CF0" w:rsidP="00A520B9">
            <w:r>
              <w:rPr>
                <w:rStyle w:val="row-heading"/>
              </w:rPr>
              <w:t>Denominator data elements:</w:t>
            </w:r>
          </w:p>
        </w:tc>
        <w:tc>
          <w:tcPr>
            <w:tcW w:w="0" w:type="auto"/>
          </w:tcPr>
          <w:p w14:paraId="4CB526BE" w14:textId="77777777" w:rsidR="00696CF0" w:rsidRDefault="00696CF0" w:rsidP="00A520B9">
            <w:r>
              <w:rPr>
                <w:b/>
                <w:color w:val="000000"/>
              </w:rPr>
              <w:t>Data Element / Data Set</w:t>
            </w:r>
          </w:p>
          <w:p w14:paraId="5C9C22A9" w14:textId="77777777" w:rsidR="00696CF0" w:rsidRDefault="00696CF0" w:rsidP="00A520B9">
            <w:r>
              <w:rPr>
                <w:b/>
              </w:rPr>
              <w:t>Data Element</w:t>
            </w:r>
          </w:p>
          <w:p w14:paraId="6B66E324" w14:textId="77777777" w:rsidR="000E20A6" w:rsidRDefault="000E20A6" w:rsidP="000E20A6">
            <w:r>
              <w:t>Homeless status at presentation (derived)—at risk</w:t>
            </w:r>
          </w:p>
          <w:p w14:paraId="6E3B1EEC" w14:textId="77777777" w:rsidR="00696CF0" w:rsidRDefault="00696CF0" w:rsidP="00A520B9">
            <w:r>
              <w:rPr>
                <w:b/>
              </w:rPr>
              <w:t>Data Source</w:t>
            </w:r>
          </w:p>
          <w:p w14:paraId="46A7F939" w14:textId="77777777" w:rsidR="000E20A6" w:rsidRDefault="00761F8E" w:rsidP="000E20A6">
            <w:hyperlink r:id="rId41" w:history="1">
              <w:r w:rsidR="000E20A6">
                <w:rPr>
                  <w:rStyle w:val="Hyperlink"/>
                </w:rPr>
                <w:t>Specialist Homelessness Services Data Collection</w:t>
              </w:r>
            </w:hyperlink>
          </w:p>
          <w:p w14:paraId="3C1B8BA1" w14:textId="77777777" w:rsidR="00696CF0" w:rsidRDefault="00696CF0" w:rsidP="00A520B9">
            <w:r>
              <w:rPr>
                <w:b/>
              </w:rPr>
              <w:t>NMDS / DSS</w:t>
            </w:r>
          </w:p>
          <w:p w14:paraId="07C87057" w14:textId="175C7D7C" w:rsidR="00696CF0" w:rsidRDefault="00761F8E" w:rsidP="00A520B9">
            <w:hyperlink r:id="rId42" w:history="1">
              <w:r w:rsidR="000E20A6">
                <w:rPr>
                  <w:rStyle w:val="Hyperlink"/>
                </w:rPr>
                <w:t>Specialist Homelessness Services NMDS 2019-</w:t>
              </w:r>
            </w:hyperlink>
          </w:p>
        </w:tc>
      </w:tr>
      <w:tr w:rsidR="00696CF0" w14:paraId="4BA1E5B1" w14:textId="77777777" w:rsidTr="00A520B9">
        <w:tc>
          <w:tcPr>
            <w:tcW w:w="2700" w:type="dxa"/>
          </w:tcPr>
          <w:p w14:paraId="6C7930F2" w14:textId="77777777" w:rsidR="00696CF0" w:rsidRDefault="00696CF0" w:rsidP="00A520B9">
            <w:r>
              <w:rPr>
                <w:rStyle w:val="row-heading"/>
              </w:rPr>
              <w:t>Disaggregation:</w:t>
            </w:r>
          </w:p>
        </w:tc>
        <w:tc>
          <w:tcPr>
            <w:tcW w:w="0" w:type="auto"/>
          </w:tcPr>
          <w:p w14:paraId="55D84D92" w14:textId="77777777" w:rsidR="000E20A6" w:rsidRDefault="000E20A6" w:rsidP="000E20A6">
            <w:r>
              <w:t>2020–21 — Nationally, by:</w:t>
            </w:r>
          </w:p>
          <w:p w14:paraId="6624B1DA" w14:textId="77777777" w:rsidR="000E20A6" w:rsidRDefault="000E20A6" w:rsidP="000E20A6">
            <w:pPr>
              <w:numPr>
                <w:ilvl w:val="0"/>
                <w:numId w:val="39"/>
              </w:numPr>
              <w:spacing w:before="0" w:after="0" w:line="240" w:lineRule="auto"/>
            </w:pPr>
            <w:r>
              <w:t>Sex and Age group.</w:t>
            </w:r>
          </w:p>
          <w:p w14:paraId="28C7F3E7" w14:textId="77777777" w:rsidR="000E20A6" w:rsidRDefault="000E20A6" w:rsidP="000E20A6">
            <w:r>
              <w:t>2020–21 — State and territory by:</w:t>
            </w:r>
          </w:p>
          <w:p w14:paraId="19E4BA7D" w14:textId="77777777" w:rsidR="000E20A6" w:rsidRDefault="000E20A6" w:rsidP="000E20A6">
            <w:pPr>
              <w:numPr>
                <w:ilvl w:val="0"/>
                <w:numId w:val="39"/>
              </w:numPr>
              <w:spacing w:before="0" w:after="0" w:line="240" w:lineRule="auto"/>
            </w:pPr>
            <w:r>
              <w:t>Sex and Age group.</w:t>
            </w:r>
          </w:p>
          <w:p w14:paraId="17E51D4E" w14:textId="03685D84" w:rsidR="00696CF0" w:rsidRDefault="00696CF0" w:rsidP="000E20A6">
            <w:pPr>
              <w:spacing w:before="0" w:after="0" w:line="240" w:lineRule="auto"/>
            </w:pPr>
          </w:p>
        </w:tc>
      </w:tr>
      <w:tr w:rsidR="00696CF0" w14:paraId="5D818ED4" w14:textId="77777777" w:rsidTr="00A520B9">
        <w:tc>
          <w:tcPr>
            <w:tcW w:w="2700" w:type="dxa"/>
          </w:tcPr>
          <w:p w14:paraId="1CF5A586" w14:textId="77777777" w:rsidR="00696CF0" w:rsidRDefault="00696CF0" w:rsidP="00A520B9">
            <w:r>
              <w:rPr>
                <w:rStyle w:val="row-heading"/>
              </w:rPr>
              <w:t>Disaggregation data elements:</w:t>
            </w:r>
          </w:p>
        </w:tc>
        <w:tc>
          <w:tcPr>
            <w:tcW w:w="0" w:type="auto"/>
          </w:tcPr>
          <w:p w14:paraId="16DBC093" w14:textId="77777777" w:rsidR="00696CF0" w:rsidRDefault="00696CF0" w:rsidP="00A520B9">
            <w:r>
              <w:rPr>
                <w:b/>
                <w:color w:val="000000"/>
              </w:rPr>
              <w:t>Data Element / Data Set</w:t>
            </w:r>
          </w:p>
          <w:p w14:paraId="121E6875" w14:textId="67F8E7C9" w:rsidR="00696CF0" w:rsidRDefault="00696CF0" w:rsidP="00A520B9">
            <w:r>
              <w:rPr>
                <w:b/>
              </w:rPr>
              <w:t>Data Element</w:t>
            </w:r>
          </w:p>
          <w:p w14:paraId="4878553D" w14:textId="77777777" w:rsidR="000E20A6" w:rsidRDefault="000E20A6" w:rsidP="000E20A6">
            <w:r>
              <w:t xml:space="preserve">NHHA priority homelessness cohorts - </w:t>
            </w:r>
            <w:hyperlink r:id="rId43" w:tooltip="For the purposes of the Priority homelessness cohort (NHHA B2 e), people exiting institutions and care into homelessness are individuals who were homeless immediately after their departure from a facility that provides care or essential public/communit..." w:history="1">
              <w:r>
                <w:rPr>
                  <w:rStyle w:val="Hyperlink"/>
                  <w:b/>
                </w:rPr>
                <w:t>people exiting institutions and care into homelessness</w:t>
              </w:r>
            </w:hyperlink>
          </w:p>
          <w:p w14:paraId="4B6AED3C" w14:textId="77777777" w:rsidR="000E20A6" w:rsidRDefault="000E20A6" w:rsidP="000E20A6">
            <w:r>
              <w:t>Disaggregation</w:t>
            </w:r>
          </w:p>
          <w:p w14:paraId="601BFC19" w14:textId="77777777" w:rsidR="000E20A6" w:rsidRDefault="000E20A6" w:rsidP="000E20A6">
            <w:r>
              <w:t>2020–21 — Nationally, by:</w:t>
            </w:r>
          </w:p>
          <w:p w14:paraId="2CA33B1A" w14:textId="77777777" w:rsidR="000E20A6" w:rsidRDefault="000E20A6" w:rsidP="000E20A6">
            <w:pPr>
              <w:numPr>
                <w:ilvl w:val="0"/>
                <w:numId w:val="48"/>
              </w:numPr>
              <w:spacing w:before="0" w:after="0" w:line="240" w:lineRule="auto"/>
            </w:pPr>
            <w:r>
              <w:t>Sex.</w:t>
            </w:r>
          </w:p>
          <w:p w14:paraId="0D1F1D21" w14:textId="77777777" w:rsidR="000E20A6" w:rsidRDefault="000E20A6" w:rsidP="000E20A6">
            <w:r>
              <w:t>2020–21 — State and territory by:</w:t>
            </w:r>
          </w:p>
          <w:p w14:paraId="7DAD35CE" w14:textId="7034026F" w:rsidR="000E20A6" w:rsidRDefault="000E20A6" w:rsidP="000E20A6">
            <w:pPr>
              <w:numPr>
                <w:ilvl w:val="0"/>
                <w:numId w:val="48"/>
              </w:numPr>
              <w:spacing w:before="0" w:after="0" w:line="240" w:lineRule="auto"/>
            </w:pPr>
            <w:r>
              <w:t>Sex.</w:t>
            </w:r>
          </w:p>
          <w:p w14:paraId="164E54BD" w14:textId="77777777" w:rsidR="000E20A6" w:rsidRPr="000E20A6" w:rsidRDefault="000E20A6" w:rsidP="000E20A6">
            <w:pPr>
              <w:pStyle w:val="AIHWbodytext"/>
              <w:rPr>
                <w:lang w:eastAsia="en-AU"/>
              </w:rPr>
            </w:pPr>
          </w:p>
          <w:p w14:paraId="637B9EC6" w14:textId="77777777" w:rsidR="00696CF0" w:rsidRDefault="00696CF0" w:rsidP="00A520B9">
            <w:r>
              <w:rPr>
                <w:b/>
                <w:color w:val="000000"/>
              </w:rPr>
              <w:t>Data Element / Data Set</w:t>
            </w:r>
          </w:p>
          <w:p w14:paraId="0B299514" w14:textId="535B3F86" w:rsidR="00696CF0" w:rsidRDefault="00696CF0" w:rsidP="00A520B9">
            <w:r>
              <w:rPr>
                <w:b/>
              </w:rPr>
              <w:t>Data Element</w:t>
            </w:r>
          </w:p>
          <w:p w14:paraId="72E9D678" w14:textId="77777777" w:rsidR="000E20A6" w:rsidRDefault="000E20A6" w:rsidP="000E20A6">
            <w:r>
              <w:t xml:space="preserve">NHHA priority homelessness cohorts - </w:t>
            </w:r>
            <w:hyperlink r:id="rId44" w:tooltip="For the purposes of the Priority homelessness cohort (NHHA B2 f), older people are individuals whose age is 55 years or above. " w:history="1">
              <w:r>
                <w:rPr>
                  <w:rStyle w:val="Hyperlink"/>
                  <w:b/>
                </w:rPr>
                <w:t>older people</w:t>
              </w:r>
            </w:hyperlink>
          </w:p>
          <w:p w14:paraId="0FD5A844" w14:textId="77777777" w:rsidR="000E20A6" w:rsidRDefault="000E20A6" w:rsidP="000E20A6">
            <w:r>
              <w:t>Disaggregation</w:t>
            </w:r>
          </w:p>
          <w:p w14:paraId="12A4F71F" w14:textId="77777777" w:rsidR="000E20A6" w:rsidRDefault="000E20A6" w:rsidP="000E20A6">
            <w:r>
              <w:t>2020–21 — Nationally, by:</w:t>
            </w:r>
          </w:p>
          <w:p w14:paraId="5DA91F80" w14:textId="77777777" w:rsidR="000E20A6" w:rsidRDefault="000E20A6" w:rsidP="000E20A6">
            <w:pPr>
              <w:numPr>
                <w:ilvl w:val="0"/>
                <w:numId w:val="48"/>
              </w:numPr>
              <w:spacing w:before="0" w:after="0" w:line="240" w:lineRule="auto"/>
            </w:pPr>
            <w:r>
              <w:t>Sex.</w:t>
            </w:r>
          </w:p>
          <w:p w14:paraId="3C2A5707" w14:textId="77777777" w:rsidR="000E20A6" w:rsidRDefault="000E20A6" w:rsidP="000E20A6">
            <w:r>
              <w:t>2020–21 — State and territory by:</w:t>
            </w:r>
          </w:p>
          <w:p w14:paraId="3F59861A" w14:textId="57E1761B" w:rsidR="000E20A6" w:rsidRDefault="000E20A6" w:rsidP="000E20A6">
            <w:pPr>
              <w:numPr>
                <w:ilvl w:val="0"/>
                <w:numId w:val="48"/>
              </w:numPr>
              <w:spacing w:before="0" w:after="0" w:line="240" w:lineRule="auto"/>
            </w:pPr>
            <w:r>
              <w:t>Sex.</w:t>
            </w:r>
          </w:p>
          <w:p w14:paraId="7F7CC239" w14:textId="77777777" w:rsidR="000E20A6" w:rsidRPr="000E20A6" w:rsidRDefault="000E20A6" w:rsidP="000E20A6">
            <w:pPr>
              <w:pStyle w:val="AIHWbodytext"/>
              <w:rPr>
                <w:lang w:eastAsia="en-AU"/>
              </w:rPr>
            </w:pPr>
          </w:p>
          <w:p w14:paraId="7E1E9FD9" w14:textId="77777777" w:rsidR="00696CF0" w:rsidRDefault="00696CF0" w:rsidP="00A520B9">
            <w:r>
              <w:rPr>
                <w:b/>
                <w:color w:val="000000"/>
              </w:rPr>
              <w:t>Data Element / Data Set</w:t>
            </w:r>
          </w:p>
          <w:p w14:paraId="7DA3DFF2" w14:textId="41B92626" w:rsidR="00696CF0" w:rsidRDefault="00696CF0" w:rsidP="00A520B9">
            <w:r>
              <w:rPr>
                <w:b/>
              </w:rPr>
              <w:t>Data Element</w:t>
            </w:r>
          </w:p>
          <w:p w14:paraId="7CA62F59" w14:textId="77777777" w:rsidR="000E20A6" w:rsidRDefault="000E20A6" w:rsidP="000E20A6">
            <w:r>
              <w:t xml:space="preserve">NHHA priority homelessness cohorts - </w:t>
            </w:r>
            <w:hyperlink r:id="rId45" w:tooltip="For the purposes of the Priority homelessness cohort (NHHA B2 a), women and children affected by family and domestic violence are women and children who have experienced violent, threatening, coercive, controlling or intimidating behaviour by a member ..." w:history="1">
              <w:r>
                <w:rPr>
                  <w:rStyle w:val="Hyperlink"/>
                  <w:b/>
                </w:rPr>
                <w:t>women and children affected by family and domestic violence</w:t>
              </w:r>
            </w:hyperlink>
          </w:p>
          <w:p w14:paraId="0E735ED3" w14:textId="77777777" w:rsidR="000E20A6" w:rsidRDefault="000E20A6" w:rsidP="000E20A6">
            <w:r>
              <w:t>Disaggregation</w:t>
            </w:r>
          </w:p>
          <w:p w14:paraId="7B0970EF" w14:textId="77777777" w:rsidR="000E20A6" w:rsidRDefault="000E20A6" w:rsidP="000E20A6">
            <w:r>
              <w:t>2020–21 — Nationally, by:</w:t>
            </w:r>
          </w:p>
          <w:p w14:paraId="343E6814" w14:textId="77777777" w:rsidR="000E20A6" w:rsidRDefault="000E20A6" w:rsidP="000E20A6">
            <w:pPr>
              <w:numPr>
                <w:ilvl w:val="0"/>
                <w:numId w:val="48"/>
              </w:numPr>
              <w:spacing w:before="0" w:after="0" w:line="240" w:lineRule="auto"/>
            </w:pPr>
            <w:r>
              <w:t>Sex.</w:t>
            </w:r>
          </w:p>
          <w:p w14:paraId="592B866E" w14:textId="77777777" w:rsidR="000E20A6" w:rsidRDefault="000E20A6" w:rsidP="000E20A6">
            <w:r>
              <w:t>2020–21 — State and territory by:</w:t>
            </w:r>
          </w:p>
          <w:p w14:paraId="75D10884" w14:textId="77777777" w:rsidR="000E20A6" w:rsidRDefault="000E20A6" w:rsidP="000E20A6">
            <w:pPr>
              <w:numPr>
                <w:ilvl w:val="0"/>
                <w:numId w:val="48"/>
              </w:numPr>
              <w:spacing w:before="0" w:after="0" w:line="240" w:lineRule="auto"/>
            </w:pPr>
            <w:r>
              <w:t>Sex.</w:t>
            </w:r>
          </w:p>
          <w:p w14:paraId="6F40B8FF" w14:textId="77777777" w:rsidR="000E20A6" w:rsidRDefault="000E20A6" w:rsidP="000E20A6">
            <w:r>
              <w:t> </w:t>
            </w:r>
          </w:p>
          <w:p w14:paraId="4A83361C" w14:textId="77777777" w:rsidR="00696CF0" w:rsidRDefault="00696CF0" w:rsidP="00A520B9">
            <w:r>
              <w:rPr>
                <w:b/>
                <w:color w:val="000000"/>
              </w:rPr>
              <w:t>Data Element / Data Set</w:t>
            </w:r>
          </w:p>
          <w:p w14:paraId="22D5BC29" w14:textId="5513B615" w:rsidR="00696CF0" w:rsidRDefault="00696CF0" w:rsidP="00A520B9">
            <w:r>
              <w:rPr>
                <w:b/>
              </w:rPr>
              <w:t>Data Element</w:t>
            </w:r>
          </w:p>
          <w:p w14:paraId="5214ADF2" w14:textId="77777777" w:rsidR="000E20A6" w:rsidRDefault="000E20A6" w:rsidP="000E20A6">
            <w:r>
              <w:t xml:space="preserve">NHHA priority homelessness cohorts - </w:t>
            </w:r>
            <w:hyperlink r:id="rId46" w:tooltip="For the purposes of the Priority homelessness cohort (NHHA B2 c), Indigenous Australians are people in Australia who self-identify as either Aboriginal or Torres Strait Islander or both. " w:history="1">
              <w:r>
                <w:rPr>
                  <w:rStyle w:val="Hyperlink"/>
                  <w:b/>
                </w:rPr>
                <w:t>Indigenous Australians</w:t>
              </w:r>
            </w:hyperlink>
          </w:p>
          <w:p w14:paraId="7E61FC12" w14:textId="77777777" w:rsidR="000E20A6" w:rsidRDefault="000E20A6" w:rsidP="000E20A6">
            <w:r>
              <w:t>Disaggregation</w:t>
            </w:r>
          </w:p>
          <w:p w14:paraId="1010329B" w14:textId="77777777" w:rsidR="000E20A6" w:rsidRDefault="000E20A6" w:rsidP="000E20A6">
            <w:r>
              <w:t>2020–21 — Nationally, by:</w:t>
            </w:r>
          </w:p>
          <w:p w14:paraId="587225B8" w14:textId="77777777" w:rsidR="000E20A6" w:rsidRDefault="000E20A6" w:rsidP="000E20A6">
            <w:pPr>
              <w:numPr>
                <w:ilvl w:val="0"/>
                <w:numId w:val="48"/>
              </w:numPr>
              <w:spacing w:before="0" w:after="0" w:line="240" w:lineRule="auto"/>
            </w:pPr>
            <w:r>
              <w:t>Sex.</w:t>
            </w:r>
          </w:p>
          <w:p w14:paraId="2E1DF3A3" w14:textId="77777777" w:rsidR="000E20A6" w:rsidRDefault="000E20A6" w:rsidP="000E20A6">
            <w:r>
              <w:t>2020–21 — State and territory by:</w:t>
            </w:r>
          </w:p>
          <w:p w14:paraId="4E188E5A" w14:textId="77777777" w:rsidR="000E20A6" w:rsidRDefault="000E20A6" w:rsidP="000E20A6">
            <w:pPr>
              <w:numPr>
                <w:ilvl w:val="0"/>
                <w:numId w:val="48"/>
              </w:numPr>
              <w:spacing w:before="0" w:after="0" w:line="240" w:lineRule="auto"/>
            </w:pPr>
            <w:r>
              <w:t>Sex.</w:t>
            </w:r>
          </w:p>
          <w:p w14:paraId="1F1A003E" w14:textId="77777777" w:rsidR="000E20A6" w:rsidRDefault="000E20A6" w:rsidP="000E20A6">
            <w:r>
              <w:t> </w:t>
            </w:r>
          </w:p>
          <w:p w14:paraId="099A4C8F" w14:textId="77777777" w:rsidR="00696CF0" w:rsidRDefault="00696CF0" w:rsidP="00A520B9">
            <w:r>
              <w:rPr>
                <w:b/>
                <w:color w:val="000000"/>
              </w:rPr>
              <w:t>Data Element / Data Set</w:t>
            </w:r>
          </w:p>
          <w:p w14:paraId="2F6E72FD" w14:textId="00E57C1C" w:rsidR="00696CF0" w:rsidRDefault="00696CF0" w:rsidP="00A520B9">
            <w:r>
              <w:rPr>
                <w:b/>
              </w:rPr>
              <w:t>Data Element</w:t>
            </w:r>
          </w:p>
          <w:p w14:paraId="3961FEA0" w14:textId="77777777" w:rsidR="000E20A6" w:rsidRDefault="000E20A6" w:rsidP="000E20A6">
            <w:r>
              <w:t xml:space="preserve">NHHA priority homelessness cohorts - </w:t>
            </w:r>
            <w:hyperlink r:id="rId47" w:tooltip="For the purposes of the Priority homelessness cohort (NHHA B2 b), children and young people are individuals who are less than 25 years of age." w:history="1">
              <w:r>
                <w:rPr>
                  <w:rStyle w:val="Hyperlink"/>
                  <w:b/>
                </w:rPr>
                <w:t>children and young people</w:t>
              </w:r>
            </w:hyperlink>
          </w:p>
          <w:p w14:paraId="7F7212C4" w14:textId="77777777" w:rsidR="000E20A6" w:rsidRDefault="000E20A6" w:rsidP="000E20A6">
            <w:r>
              <w:t>Disaggregation</w:t>
            </w:r>
          </w:p>
          <w:p w14:paraId="5646F6D1" w14:textId="77777777" w:rsidR="000E20A6" w:rsidRDefault="000E20A6" w:rsidP="000E20A6">
            <w:r>
              <w:t>2020–21 — Nationally, by:</w:t>
            </w:r>
          </w:p>
          <w:p w14:paraId="7B779573" w14:textId="77777777" w:rsidR="000E20A6" w:rsidRDefault="000E20A6" w:rsidP="000E20A6">
            <w:pPr>
              <w:numPr>
                <w:ilvl w:val="0"/>
                <w:numId w:val="48"/>
              </w:numPr>
              <w:spacing w:before="0" w:after="0" w:line="240" w:lineRule="auto"/>
            </w:pPr>
            <w:r>
              <w:t>Sex.</w:t>
            </w:r>
          </w:p>
          <w:p w14:paraId="35AD61B3" w14:textId="77777777" w:rsidR="000E20A6" w:rsidRDefault="000E20A6" w:rsidP="000E20A6">
            <w:r>
              <w:t>2020–21 — State and territory by:</w:t>
            </w:r>
          </w:p>
          <w:p w14:paraId="5789F2DB" w14:textId="77777777" w:rsidR="000E20A6" w:rsidRDefault="000E20A6" w:rsidP="000E20A6">
            <w:pPr>
              <w:numPr>
                <w:ilvl w:val="0"/>
                <w:numId w:val="48"/>
              </w:numPr>
              <w:spacing w:before="0" w:after="0" w:line="240" w:lineRule="auto"/>
            </w:pPr>
            <w:r>
              <w:t>Sex.</w:t>
            </w:r>
          </w:p>
          <w:p w14:paraId="57186257" w14:textId="5107F580" w:rsidR="00696CF0" w:rsidRDefault="00696CF0" w:rsidP="00A520B9"/>
        </w:tc>
      </w:tr>
      <w:tr w:rsidR="000E20A6" w14:paraId="6ED78071" w14:textId="77777777" w:rsidTr="00A520B9">
        <w:tc>
          <w:tcPr>
            <w:tcW w:w="2700" w:type="dxa"/>
          </w:tcPr>
          <w:p w14:paraId="4E513215" w14:textId="77777777" w:rsidR="000E20A6" w:rsidRDefault="000E20A6" w:rsidP="000E20A6">
            <w:r>
              <w:rPr>
                <w:rStyle w:val="row-heading"/>
              </w:rPr>
              <w:t>Comments:</w:t>
            </w:r>
          </w:p>
        </w:tc>
        <w:tc>
          <w:tcPr>
            <w:tcW w:w="0" w:type="auto"/>
          </w:tcPr>
          <w:p w14:paraId="4C64CF36" w14:textId="77777777" w:rsidR="000E20A6" w:rsidRDefault="000E20A6" w:rsidP="000E20A6">
            <w:r>
              <w:rPr>
                <w:b/>
              </w:rPr>
              <w:t>Data collection</w:t>
            </w:r>
          </w:p>
          <w:p w14:paraId="43E622F2" w14:textId="526E244E" w:rsidR="000E20A6" w:rsidRDefault="000E20A6" w:rsidP="000E20A6">
            <w:r>
              <w:t>Data are collected monthly from agencies participating in the collection. All agencies that receive funding under the NHHA (previously the NAHA or the NPAH) to provide specialist homelessness services are in scope for the SHSC, although some agencies are exempted from supplying data. Agencies submit data on the periods of support provided to clients.</w:t>
            </w:r>
          </w:p>
        </w:tc>
      </w:tr>
      <w:tr w:rsidR="00696CF0" w14:paraId="06520BE1" w14:textId="77777777" w:rsidTr="00A520B9">
        <w:tc>
          <w:tcPr>
            <w:tcW w:w="0" w:type="auto"/>
            <w:gridSpan w:val="2"/>
          </w:tcPr>
          <w:p w14:paraId="5C6769C8" w14:textId="77777777" w:rsidR="00696CF0" w:rsidRDefault="00696CF0" w:rsidP="00A520B9">
            <w:pPr>
              <w:pStyle w:val="Heading4"/>
              <w:outlineLvl w:val="3"/>
            </w:pPr>
            <w:r>
              <w:t>Representational attributes</w:t>
            </w:r>
          </w:p>
        </w:tc>
      </w:tr>
      <w:tr w:rsidR="00696CF0" w14:paraId="71E4803B" w14:textId="77777777" w:rsidTr="00A520B9">
        <w:tc>
          <w:tcPr>
            <w:tcW w:w="2700" w:type="dxa"/>
          </w:tcPr>
          <w:p w14:paraId="149E71A3" w14:textId="77777777" w:rsidR="00696CF0" w:rsidRDefault="00696CF0" w:rsidP="00A520B9">
            <w:r>
              <w:rPr>
                <w:rStyle w:val="row-heading"/>
              </w:rPr>
              <w:t>Representation class:</w:t>
            </w:r>
          </w:p>
        </w:tc>
        <w:tc>
          <w:tcPr>
            <w:tcW w:w="0" w:type="auto"/>
          </w:tcPr>
          <w:p w14:paraId="1D7A24DA" w14:textId="77777777" w:rsidR="00696CF0" w:rsidRDefault="00696CF0" w:rsidP="00A520B9">
            <w:r>
              <w:t>Percentage</w:t>
            </w:r>
          </w:p>
        </w:tc>
      </w:tr>
      <w:tr w:rsidR="00696CF0" w14:paraId="71F56D87" w14:textId="77777777" w:rsidTr="00A520B9">
        <w:tc>
          <w:tcPr>
            <w:tcW w:w="2700" w:type="dxa"/>
          </w:tcPr>
          <w:p w14:paraId="66184ABF" w14:textId="77777777" w:rsidR="00696CF0" w:rsidRDefault="00696CF0" w:rsidP="00A520B9">
            <w:r>
              <w:rPr>
                <w:rStyle w:val="row-heading"/>
              </w:rPr>
              <w:t>Data type:</w:t>
            </w:r>
          </w:p>
        </w:tc>
        <w:tc>
          <w:tcPr>
            <w:tcW w:w="0" w:type="auto"/>
          </w:tcPr>
          <w:p w14:paraId="4CF87035" w14:textId="77777777" w:rsidR="00696CF0" w:rsidRDefault="00696CF0" w:rsidP="00A520B9">
            <w:r>
              <w:t>Real</w:t>
            </w:r>
          </w:p>
        </w:tc>
      </w:tr>
      <w:tr w:rsidR="00696CF0" w14:paraId="17F98E51" w14:textId="77777777" w:rsidTr="00A520B9">
        <w:tc>
          <w:tcPr>
            <w:tcW w:w="2700" w:type="dxa"/>
          </w:tcPr>
          <w:p w14:paraId="6F77D0CC" w14:textId="77777777" w:rsidR="00696CF0" w:rsidRDefault="00696CF0" w:rsidP="00A520B9">
            <w:r>
              <w:rPr>
                <w:rStyle w:val="row-heading"/>
              </w:rPr>
              <w:t>Unit of measure:</w:t>
            </w:r>
          </w:p>
        </w:tc>
        <w:tc>
          <w:tcPr>
            <w:tcW w:w="0" w:type="auto"/>
          </w:tcPr>
          <w:p w14:paraId="62920C95" w14:textId="00A5B97C" w:rsidR="00696CF0" w:rsidRDefault="000E20A6" w:rsidP="00A520B9">
            <w:r>
              <w:t>Service event</w:t>
            </w:r>
          </w:p>
        </w:tc>
      </w:tr>
      <w:tr w:rsidR="00696CF0" w14:paraId="5888D934" w14:textId="77777777" w:rsidTr="00A520B9">
        <w:tc>
          <w:tcPr>
            <w:tcW w:w="2700" w:type="dxa"/>
          </w:tcPr>
          <w:p w14:paraId="5BD57943" w14:textId="77777777" w:rsidR="00696CF0" w:rsidRDefault="00696CF0" w:rsidP="00A520B9">
            <w:r>
              <w:rPr>
                <w:rStyle w:val="row-heading"/>
              </w:rPr>
              <w:t>Format:</w:t>
            </w:r>
          </w:p>
        </w:tc>
        <w:tc>
          <w:tcPr>
            <w:tcW w:w="0" w:type="auto"/>
          </w:tcPr>
          <w:p w14:paraId="2799F641" w14:textId="77777777" w:rsidR="00696CF0" w:rsidRDefault="00696CF0" w:rsidP="00A520B9">
            <w:r>
              <w:t>N[NN</w:t>
            </w:r>
            <w:proofErr w:type="gramStart"/>
            <w:r>
              <w:t>].N</w:t>
            </w:r>
            <w:proofErr w:type="gramEnd"/>
          </w:p>
        </w:tc>
      </w:tr>
      <w:tr w:rsidR="00696CF0" w14:paraId="766DF82B" w14:textId="77777777" w:rsidTr="00A520B9">
        <w:tc>
          <w:tcPr>
            <w:tcW w:w="0" w:type="auto"/>
            <w:gridSpan w:val="2"/>
          </w:tcPr>
          <w:p w14:paraId="15018592" w14:textId="77777777" w:rsidR="00696CF0" w:rsidRDefault="00696CF0" w:rsidP="00A520B9">
            <w:pPr>
              <w:pStyle w:val="Heading4"/>
              <w:outlineLvl w:val="3"/>
            </w:pPr>
            <w:r>
              <w:t>Data source attributes</w:t>
            </w:r>
          </w:p>
        </w:tc>
      </w:tr>
      <w:tr w:rsidR="00696CF0" w14:paraId="249095B4" w14:textId="77777777" w:rsidTr="00A520B9">
        <w:tc>
          <w:tcPr>
            <w:tcW w:w="2700" w:type="dxa"/>
          </w:tcPr>
          <w:p w14:paraId="73D68A6C" w14:textId="77777777" w:rsidR="00696CF0" w:rsidRDefault="00696CF0" w:rsidP="00A520B9">
            <w:r>
              <w:rPr>
                <w:rStyle w:val="row-heading"/>
              </w:rPr>
              <w:t>Data sources:</w:t>
            </w:r>
          </w:p>
        </w:tc>
        <w:tc>
          <w:tcPr>
            <w:tcW w:w="0" w:type="auto"/>
          </w:tcPr>
          <w:p w14:paraId="0889345E" w14:textId="77777777" w:rsidR="00696CF0" w:rsidRDefault="00696CF0" w:rsidP="00A520B9">
            <w:r>
              <w:rPr>
                <w:b/>
                <w:color w:val="000000"/>
              </w:rPr>
              <w:t>Data Source</w:t>
            </w:r>
          </w:p>
          <w:p w14:paraId="0131DDCC" w14:textId="77777777" w:rsidR="000E20A6" w:rsidRDefault="00761F8E" w:rsidP="000E20A6">
            <w:hyperlink r:id="rId48" w:history="1">
              <w:r w:rsidR="000E20A6">
                <w:rPr>
                  <w:rStyle w:val="Hyperlink"/>
                </w:rPr>
                <w:t>Specialist Homelessness Services Data Collection</w:t>
              </w:r>
            </w:hyperlink>
          </w:p>
          <w:p w14:paraId="3A9F901B" w14:textId="77777777" w:rsidR="00696CF0" w:rsidRDefault="00696CF0" w:rsidP="00A520B9">
            <w:r>
              <w:rPr>
                <w:b/>
              </w:rPr>
              <w:t>Frequency</w:t>
            </w:r>
          </w:p>
          <w:p w14:paraId="38A8889C" w14:textId="77777777" w:rsidR="000E20A6" w:rsidRDefault="000E20A6" w:rsidP="000E20A6">
            <w:r>
              <w:t xml:space="preserve">Specialist Homelessness Services collect data on an ongoing basis and submit the data to the Australian Institute of Health and Welfare </w:t>
            </w:r>
            <w:proofErr w:type="gramStart"/>
            <w:r>
              <w:t>on a monthly basis</w:t>
            </w:r>
            <w:proofErr w:type="gramEnd"/>
            <w:r>
              <w:t>.</w:t>
            </w:r>
          </w:p>
          <w:p w14:paraId="320E095D" w14:textId="50F5BCDC" w:rsidR="00696CF0" w:rsidRDefault="00696CF0" w:rsidP="00A520B9">
            <w:r>
              <w:rPr>
                <w:b/>
              </w:rPr>
              <w:t>Data custodian</w:t>
            </w:r>
          </w:p>
          <w:p w14:paraId="6750DF3A" w14:textId="28E6CBF6" w:rsidR="00696CF0" w:rsidRDefault="00696CF0" w:rsidP="00A520B9">
            <w:r>
              <w:t>Australian Institute of Health and Welfare</w:t>
            </w:r>
          </w:p>
        </w:tc>
      </w:tr>
      <w:tr w:rsidR="00696CF0" w14:paraId="7E8B0271" w14:textId="77777777" w:rsidTr="00A520B9">
        <w:tc>
          <w:tcPr>
            <w:tcW w:w="0" w:type="auto"/>
            <w:gridSpan w:val="2"/>
          </w:tcPr>
          <w:p w14:paraId="59CBE7DD" w14:textId="77777777" w:rsidR="00696CF0" w:rsidRDefault="00696CF0" w:rsidP="00A520B9">
            <w:pPr>
              <w:pStyle w:val="Heading4"/>
              <w:outlineLvl w:val="3"/>
            </w:pPr>
            <w:r>
              <w:t>Accountability attributes</w:t>
            </w:r>
          </w:p>
        </w:tc>
      </w:tr>
      <w:tr w:rsidR="00696CF0" w14:paraId="664F9FFB" w14:textId="77777777" w:rsidTr="00A520B9">
        <w:tc>
          <w:tcPr>
            <w:tcW w:w="2700" w:type="dxa"/>
          </w:tcPr>
          <w:p w14:paraId="35E99E3D" w14:textId="77777777" w:rsidR="00696CF0" w:rsidRDefault="00696CF0" w:rsidP="00A520B9">
            <w:r>
              <w:rPr>
                <w:rStyle w:val="row-heading"/>
              </w:rPr>
              <w:t>Reporting requirements:</w:t>
            </w:r>
          </w:p>
        </w:tc>
        <w:tc>
          <w:tcPr>
            <w:tcW w:w="0" w:type="auto"/>
          </w:tcPr>
          <w:p w14:paraId="5E68674B" w14:textId="77777777" w:rsidR="00696CF0" w:rsidRDefault="00696CF0" w:rsidP="00A520B9">
            <w:r>
              <w:t>Agency supplied data.</w:t>
            </w:r>
          </w:p>
        </w:tc>
      </w:tr>
      <w:tr w:rsidR="00696CF0" w14:paraId="576EF6EF" w14:textId="77777777" w:rsidTr="00A520B9">
        <w:tc>
          <w:tcPr>
            <w:tcW w:w="2700" w:type="dxa"/>
          </w:tcPr>
          <w:p w14:paraId="17B94411" w14:textId="77777777" w:rsidR="00696CF0" w:rsidRDefault="00696CF0" w:rsidP="00A520B9">
            <w:r>
              <w:rPr>
                <w:rStyle w:val="row-heading"/>
              </w:rPr>
              <w:t>Organisation responsible for providing data:</w:t>
            </w:r>
          </w:p>
        </w:tc>
        <w:tc>
          <w:tcPr>
            <w:tcW w:w="0" w:type="auto"/>
          </w:tcPr>
          <w:p w14:paraId="3974F886" w14:textId="77777777" w:rsidR="00696CF0" w:rsidRDefault="00696CF0" w:rsidP="00A520B9">
            <w:r>
              <w:t>Specialist homelessness services agencies.</w:t>
            </w:r>
          </w:p>
        </w:tc>
      </w:tr>
      <w:tr w:rsidR="00696CF0" w14:paraId="360E1A06" w14:textId="77777777" w:rsidTr="00A520B9">
        <w:tc>
          <w:tcPr>
            <w:tcW w:w="2700" w:type="dxa"/>
          </w:tcPr>
          <w:p w14:paraId="570408E3" w14:textId="77777777" w:rsidR="00696CF0" w:rsidRDefault="00696CF0" w:rsidP="00A520B9">
            <w:r>
              <w:rPr>
                <w:rStyle w:val="row-heading"/>
              </w:rPr>
              <w:t>Accountability:</w:t>
            </w:r>
          </w:p>
        </w:tc>
        <w:tc>
          <w:tcPr>
            <w:tcW w:w="0" w:type="auto"/>
          </w:tcPr>
          <w:p w14:paraId="50D5D30A" w14:textId="77777777" w:rsidR="00696CF0" w:rsidRDefault="00696CF0" w:rsidP="00A520B9">
            <w:r>
              <w:t>Australian Institute of Health and Welfare</w:t>
            </w:r>
          </w:p>
        </w:tc>
      </w:tr>
      <w:tr w:rsidR="00696CF0" w14:paraId="383E4D98" w14:textId="77777777" w:rsidTr="00A520B9">
        <w:tc>
          <w:tcPr>
            <w:tcW w:w="0" w:type="auto"/>
            <w:gridSpan w:val="2"/>
          </w:tcPr>
          <w:p w14:paraId="56092787" w14:textId="77777777" w:rsidR="00696CF0" w:rsidRDefault="00696CF0" w:rsidP="00A520B9">
            <w:pPr>
              <w:pStyle w:val="Heading4"/>
              <w:outlineLvl w:val="3"/>
            </w:pPr>
            <w:r>
              <w:t>Source and reference attributes</w:t>
            </w:r>
          </w:p>
        </w:tc>
      </w:tr>
      <w:tr w:rsidR="00696CF0" w14:paraId="2C20601F" w14:textId="77777777" w:rsidTr="00A520B9">
        <w:tc>
          <w:tcPr>
            <w:tcW w:w="2700" w:type="dxa"/>
          </w:tcPr>
          <w:p w14:paraId="49339B1B" w14:textId="77777777" w:rsidR="00696CF0" w:rsidRDefault="00696CF0" w:rsidP="00A520B9">
            <w:r>
              <w:rPr>
                <w:rStyle w:val="row-heading"/>
              </w:rPr>
              <w:t>Submitting organisation:</w:t>
            </w:r>
          </w:p>
        </w:tc>
        <w:tc>
          <w:tcPr>
            <w:tcW w:w="0" w:type="auto"/>
          </w:tcPr>
          <w:p w14:paraId="5BD2414F" w14:textId="77777777" w:rsidR="00696CF0" w:rsidRDefault="00696CF0" w:rsidP="00A520B9">
            <w:r>
              <w:t>Australian Institute of Health and Welfare</w:t>
            </w:r>
          </w:p>
        </w:tc>
      </w:tr>
      <w:tr w:rsidR="00696CF0" w14:paraId="77F9A5BE" w14:textId="77777777" w:rsidTr="00A520B9">
        <w:tc>
          <w:tcPr>
            <w:tcW w:w="2700" w:type="dxa"/>
          </w:tcPr>
          <w:p w14:paraId="711458BB" w14:textId="77777777" w:rsidR="00696CF0" w:rsidRDefault="00696CF0" w:rsidP="00A520B9">
            <w:r>
              <w:rPr>
                <w:rStyle w:val="row-heading"/>
              </w:rPr>
              <w:t>Reference documents:</w:t>
            </w:r>
          </w:p>
        </w:tc>
        <w:tc>
          <w:tcPr>
            <w:tcW w:w="0" w:type="auto"/>
          </w:tcPr>
          <w:p w14:paraId="349CE51C" w14:textId="77777777" w:rsidR="00696CF0" w:rsidRDefault="00696CF0" w:rsidP="00A520B9">
            <w:r>
              <w:rPr>
                <w:i/>
              </w:rPr>
              <w:t>CFFR (Council on Federal Financial Relations) 2018. National Housing and Homelessness Agreement 2018. Council on Federal Financial Relations, Canberra. Viewed 15 October 2021,</w:t>
            </w:r>
          </w:p>
          <w:p w14:paraId="020E41A9" w14:textId="77777777" w:rsidR="00696CF0" w:rsidRDefault="00761F8E" w:rsidP="00A520B9">
            <w:hyperlink r:id="rId49" w:history="1">
              <w:r w:rsidR="00696CF0">
                <w:rPr>
                  <w:rStyle w:val="Hyperlink"/>
                </w:rPr>
                <w:t>The National Housing and Homelessness Agreement | Federal Financial Relations</w:t>
              </w:r>
            </w:hyperlink>
          </w:p>
        </w:tc>
      </w:tr>
      <w:tr w:rsidR="00696CF0" w14:paraId="3A13483C" w14:textId="77777777" w:rsidTr="00A520B9">
        <w:tc>
          <w:tcPr>
            <w:tcW w:w="0" w:type="auto"/>
            <w:gridSpan w:val="2"/>
          </w:tcPr>
          <w:p w14:paraId="3F585074" w14:textId="77777777" w:rsidR="00696CF0" w:rsidRDefault="00696CF0" w:rsidP="00A520B9">
            <w:pPr>
              <w:pStyle w:val="Heading3"/>
              <w:outlineLvl w:val="2"/>
            </w:pPr>
            <w:r>
              <w:t>Relational attributes</w:t>
            </w:r>
          </w:p>
        </w:tc>
      </w:tr>
      <w:tr w:rsidR="000E20A6" w14:paraId="071D432B" w14:textId="77777777" w:rsidTr="00A520B9">
        <w:tc>
          <w:tcPr>
            <w:tcW w:w="2700" w:type="dxa"/>
          </w:tcPr>
          <w:p w14:paraId="10C6F453" w14:textId="77777777" w:rsidR="000E20A6" w:rsidRDefault="000E20A6" w:rsidP="000E20A6">
            <w:r>
              <w:rPr>
                <w:rStyle w:val="row-heading"/>
              </w:rPr>
              <w:t>Related metadata references:</w:t>
            </w:r>
          </w:p>
        </w:tc>
        <w:tc>
          <w:tcPr>
            <w:tcW w:w="0" w:type="auto"/>
          </w:tcPr>
          <w:p w14:paraId="2D6A3C8A" w14:textId="77777777" w:rsidR="000E20A6" w:rsidRDefault="000E20A6" w:rsidP="000E20A6">
            <w:r>
              <w:t xml:space="preserve">See also </w:t>
            </w:r>
          </w:p>
          <w:p w14:paraId="4AE3255D" w14:textId="5FA13A7F" w:rsidR="000E20A6" w:rsidRDefault="00761F8E" w:rsidP="000E20A6">
            <w:hyperlink r:id="rId50" w:history="1">
              <w:r w:rsidR="000E20A6">
                <w:rPr>
                  <w:rStyle w:val="Hyperlink"/>
                </w:rPr>
                <w:t>National Performance Indicators for the National Housing and Homelessness Agreement – The proportion of people who are at risk of homelessness that receive assistance to avoid homelessness, (Client level), 2021</w:t>
              </w:r>
            </w:hyperlink>
            <w:r w:rsidR="000E20A6">
              <w:rPr>
                <w:i/>
              </w:rPr>
              <w:t xml:space="preserve"> No registration status</w:t>
            </w:r>
            <w:r w:rsidR="000E20A6">
              <w:br/>
            </w:r>
          </w:p>
        </w:tc>
      </w:tr>
      <w:tr w:rsidR="00696CF0" w14:paraId="78CADC08" w14:textId="77777777" w:rsidTr="00A520B9">
        <w:tc>
          <w:tcPr>
            <w:tcW w:w="0" w:type="auto"/>
            <w:gridSpan w:val="2"/>
          </w:tcPr>
          <w:p w14:paraId="08A68F0F" w14:textId="77777777" w:rsidR="00696CF0" w:rsidRDefault="00696CF0" w:rsidP="00A520B9">
            <w:pPr>
              <w:pStyle w:val="Heading4"/>
              <w:outlineLvl w:val="3"/>
            </w:pPr>
            <w:r>
              <w:t>Registry management attributes</w:t>
            </w:r>
          </w:p>
        </w:tc>
      </w:tr>
      <w:tr w:rsidR="00696CF0" w14:paraId="20C84635" w14:textId="77777777" w:rsidTr="00A520B9">
        <w:tc>
          <w:tcPr>
            <w:tcW w:w="2700" w:type="dxa"/>
          </w:tcPr>
          <w:p w14:paraId="196817D8" w14:textId="77777777" w:rsidR="00696CF0" w:rsidRDefault="00696CF0" w:rsidP="00A520B9">
            <w:r>
              <w:rPr>
                <w:rStyle w:val="row-heading"/>
              </w:rPr>
              <w:t>Created by:</w:t>
            </w:r>
          </w:p>
        </w:tc>
        <w:tc>
          <w:tcPr>
            <w:tcW w:w="0" w:type="auto"/>
          </w:tcPr>
          <w:p w14:paraId="4967738A" w14:textId="77777777" w:rsidR="00696CF0" w:rsidRDefault="00696CF0" w:rsidP="00A520B9">
            <w:r>
              <w:t>Kline Nazareth</w:t>
            </w:r>
          </w:p>
        </w:tc>
      </w:tr>
      <w:tr w:rsidR="00696CF0" w14:paraId="3923A6BE" w14:textId="77777777" w:rsidTr="00A520B9">
        <w:tc>
          <w:tcPr>
            <w:tcW w:w="2700" w:type="dxa"/>
          </w:tcPr>
          <w:p w14:paraId="3E3A2743" w14:textId="77777777" w:rsidR="00696CF0" w:rsidRDefault="00696CF0" w:rsidP="00A520B9">
            <w:r>
              <w:rPr>
                <w:rStyle w:val="row-heading"/>
              </w:rPr>
              <w:t>Created date/time:</w:t>
            </w:r>
          </w:p>
        </w:tc>
        <w:tc>
          <w:tcPr>
            <w:tcW w:w="0" w:type="auto"/>
          </w:tcPr>
          <w:p w14:paraId="5800FE2B" w14:textId="77777777" w:rsidR="00696CF0" w:rsidRDefault="00696CF0" w:rsidP="00A520B9"/>
        </w:tc>
      </w:tr>
      <w:tr w:rsidR="00696CF0" w14:paraId="526E3C7D" w14:textId="77777777" w:rsidTr="00A520B9">
        <w:tc>
          <w:tcPr>
            <w:tcW w:w="2700" w:type="dxa"/>
          </w:tcPr>
          <w:p w14:paraId="27C088D0" w14:textId="77777777" w:rsidR="00696CF0" w:rsidRDefault="00696CF0" w:rsidP="00A520B9">
            <w:r>
              <w:rPr>
                <w:rStyle w:val="row-heading"/>
              </w:rPr>
              <w:t>Last updated by:</w:t>
            </w:r>
          </w:p>
        </w:tc>
        <w:tc>
          <w:tcPr>
            <w:tcW w:w="0" w:type="auto"/>
          </w:tcPr>
          <w:p w14:paraId="204D5979" w14:textId="77777777" w:rsidR="00696CF0" w:rsidRDefault="00696CF0" w:rsidP="00A520B9">
            <w:r>
              <w:t>Kline Nazareth</w:t>
            </w:r>
          </w:p>
        </w:tc>
      </w:tr>
      <w:tr w:rsidR="00696CF0" w14:paraId="4BCF48A2" w14:textId="77777777" w:rsidTr="00A520B9">
        <w:tc>
          <w:tcPr>
            <w:tcW w:w="2700" w:type="dxa"/>
          </w:tcPr>
          <w:p w14:paraId="6A1376D4" w14:textId="77777777" w:rsidR="00696CF0" w:rsidRDefault="00696CF0" w:rsidP="00A520B9">
            <w:r>
              <w:rPr>
                <w:rStyle w:val="row-heading"/>
              </w:rPr>
              <w:t>Last updated date/time:</w:t>
            </w:r>
          </w:p>
        </w:tc>
        <w:tc>
          <w:tcPr>
            <w:tcW w:w="0" w:type="auto"/>
          </w:tcPr>
          <w:p w14:paraId="07C280AE" w14:textId="77777777" w:rsidR="00696CF0" w:rsidRDefault="00696CF0" w:rsidP="00A520B9"/>
        </w:tc>
      </w:tr>
      <w:tr w:rsidR="00696CF0" w14:paraId="19434250" w14:textId="77777777" w:rsidTr="00A520B9">
        <w:tc>
          <w:tcPr>
            <w:tcW w:w="2700" w:type="dxa"/>
          </w:tcPr>
          <w:p w14:paraId="6A225C3F" w14:textId="77777777" w:rsidR="00696CF0" w:rsidRDefault="00696CF0" w:rsidP="00A520B9">
            <w:r>
              <w:rPr>
                <w:rStyle w:val="row-heading"/>
              </w:rPr>
              <w:t>Workgroup:</w:t>
            </w:r>
          </w:p>
        </w:tc>
        <w:tc>
          <w:tcPr>
            <w:tcW w:w="0" w:type="auto"/>
          </w:tcPr>
          <w:p w14:paraId="4339BE38" w14:textId="77777777" w:rsidR="00696CF0" w:rsidRDefault="00696CF0" w:rsidP="00A520B9">
            <w:r>
              <w:t>AIHW Homelessness Reporting and Data Development workgroup</w:t>
            </w:r>
          </w:p>
        </w:tc>
      </w:tr>
    </w:tbl>
    <w:p w14:paraId="78B736DB" w14:textId="27C0796E" w:rsidR="00696CF0" w:rsidRDefault="00696CF0" w:rsidP="00696CF0">
      <w:pPr>
        <w:pStyle w:val="AIHWbodytext"/>
        <w:rPr>
          <w:lang w:eastAsia="en-AU"/>
        </w:rPr>
      </w:pPr>
    </w:p>
    <w:p w14:paraId="099B52AA" w14:textId="77777777" w:rsidR="009815AA" w:rsidRPr="009815AA" w:rsidRDefault="009815AA" w:rsidP="009815AA">
      <w:pPr>
        <w:spacing w:before="40" w:after="40" w:line="240" w:lineRule="auto"/>
        <w:rPr>
          <w:rFonts w:ascii="Book Antiqua" w:hAnsi="Book Antiqua"/>
          <w:sz w:val="20"/>
          <w:szCs w:val="20"/>
        </w:rPr>
      </w:pPr>
    </w:p>
    <w:p w14:paraId="102B0588" w14:textId="77777777" w:rsidR="0059714D" w:rsidRDefault="0059714D" w:rsidP="00922558">
      <w:pPr>
        <w:pStyle w:val="AIHWbodytext"/>
        <w:ind w:left="360"/>
        <w:rPr>
          <w:lang w:eastAsia="en-AU"/>
        </w:rPr>
        <w:sectPr w:rsidR="0059714D" w:rsidSect="0059714D">
          <w:headerReference w:type="first" r:id="rId51"/>
          <w:footerReference w:type="first" r:id="rId52"/>
          <w:pgSz w:w="11906" w:h="16838" w:code="9"/>
          <w:pgMar w:top="1418" w:right="1418" w:bottom="1134" w:left="1418" w:header="964" w:footer="0" w:gutter="0"/>
          <w:cols w:space="708"/>
          <w:titlePg/>
          <w:docGrid w:linePitch="360"/>
        </w:sectPr>
      </w:pPr>
    </w:p>
    <w:p w14:paraId="69669BA7" w14:textId="7897A116" w:rsidR="00922558" w:rsidRDefault="006C04CC" w:rsidP="0059714D">
      <w:pPr>
        <w:pStyle w:val="Heading4"/>
        <w:numPr>
          <w:ilvl w:val="0"/>
          <w:numId w:val="38"/>
        </w:numPr>
      </w:pPr>
      <w:r w:rsidRPr="0059714D">
        <w:t>Logic diagram</w:t>
      </w:r>
      <w:r w:rsidR="00922558" w:rsidRPr="0059714D">
        <w:t>s</w:t>
      </w:r>
    </w:p>
    <w:p w14:paraId="6C0BB590" w14:textId="77777777" w:rsidR="00DD6546" w:rsidRPr="00DD6546" w:rsidRDefault="00DD6546" w:rsidP="00DD6546">
      <w:pPr>
        <w:pStyle w:val="AIHWbodytext"/>
      </w:pPr>
    </w:p>
    <w:p w14:paraId="0D108B42" w14:textId="77777777" w:rsidR="00D72C04" w:rsidRPr="0059714D" w:rsidRDefault="00D72C04" w:rsidP="0059714D">
      <w:pPr>
        <w:pStyle w:val="AIHWbodytext"/>
        <w:rPr>
          <w:rFonts w:asciiTheme="minorHAnsi" w:hAnsiTheme="minorHAnsi" w:cstheme="minorHAnsi"/>
          <w:b/>
          <w:lang w:eastAsia="en-AU"/>
        </w:rPr>
      </w:pPr>
      <w:r w:rsidRPr="0059714D">
        <w:rPr>
          <w:rFonts w:asciiTheme="minorHAnsi" w:hAnsiTheme="minorHAnsi" w:cstheme="minorHAnsi"/>
          <w:b/>
          <w:lang w:eastAsia="en-AU"/>
        </w:rPr>
        <w:t>Logic diagrams for the client-level indicator</w:t>
      </w:r>
    </w:p>
    <w:p w14:paraId="4EBB0E49" w14:textId="77777777" w:rsidR="00D72C04" w:rsidRPr="00DD6546" w:rsidRDefault="00D72C04" w:rsidP="00D72C04">
      <w:pPr>
        <w:pStyle w:val="AIHWbodytext"/>
        <w:rPr>
          <w:rFonts w:cs="Arial"/>
        </w:rPr>
      </w:pPr>
      <w:r w:rsidRPr="00DD6546">
        <w:rPr>
          <w:rFonts w:cs="Arial"/>
        </w:rPr>
        <w:t>The logic diagrams with the associated reasoning aid in the understanding of the specifications for the client-level indicator. These step through the possible service profile scenarios visually representing:</w:t>
      </w:r>
    </w:p>
    <w:p w14:paraId="791FDFE8" w14:textId="77777777" w:rsidR="00D72C04" w:rsidRPr="00DD6546" w:rsidRDefault="00D72C04" w:rsidP="00DD6546">
      <w:pPr>
        <w:pStyle w:val="Bullet1"/>
        <w:numPr>
          <w:ilvl w:val="0"/>
          <w:numId w:val="31"/>
        </w:numPr>
        <w:tabs>
          <w:tab w:val="num" w:pos="397"/>
        </w:tabs>
        <w:ind w:left="397" w:hanging="397"/>
        <w:rPr>
          <w:rFonts w:cs="Arial"/>
        </w:rPr>
      </w:pPr>
      <w:r w:rsidRPr="00DD6546">
        <w:rPr>
          <w:rFonts w:cs="Arial"/>
        </w:rPr>
        <w:t>Timing of the in-scope six-month data period, and the full financial year of data (dark black lines)</w:t>
      </w:r>
    </w:p>
    <w:p w14:paraId="56DDBBDE" w14:textId="77777777" w:rsidR="00D72C04" w:rsidRPr="00DD6546" w:rsidRDefault="00D72C04" w:rsidP="00DD6546">
      <w:pPr>
        <w:pStyle w:val="Bullet1"/>
        <w:numPr>
          <w:ilvl w:val="0"/>
          <w:numId w:val="31"/>
        </w:numPr>
        <w:tabs>
          <w:tab w:val="num" w:pos="397"/>
        </w:tabs>
        <w:ind w:left="397" w:hanging="397"/>
        <w:rPr>
          <w:rFonts w:cs="Arial"/>
        </w:rPr>
      </w:pPr>
      <w:r w:rsidRPr="00DD6546">
        <w:rPr>
          <w:rFonts w:cs="Arial"/>
        </w:rPr>
        <w:t>Illustrative first support period commencement date (20 Aug 2020) within the in-scope six-month data period and an illustration of the end of the six-month follow up period for that individual client (dark green lines)</w:t>
      </w:r>
    </w:p>
    <w:p w14:paraId="137D25C4" w14:textId="77777777" w:rsidR="00D72C04" w:rsidRPr="00DD6546" w:rsidRDefault="00D72C04" w:rsidP="00DD6546">
      <w:pPr>
        <w:pStyle w:val="Bullet1"/>
        <w:numPr>
          <w:ilvl w:val="0"/>
          <w:numId w:val="31"/>
        </w:numPr>
        <w:tabs>
          <w:tab w:val="num" w:pos="397"/>
        </w:tabs>
        <w:ind w:left="397" w:hanging="397"/>
        <w:rPr>
          <w:rFonts w:cs="Arial"/>
        </w:rPr>
      </w:pPr>
      <w:r w:rsidRPr="00DD6546">
        <w:rPr>
          <w:rFonts w:cs="Arial"/>
        </w:rPr>
        <w:t>Support period examples (horizontal black lines), illustrating various scenarios including:</w:t>
      </w:r>
    </w:p>
    <w:p w14:paraId="431E9C2E" w14:textId="77777777" w:rsidR="00D72C04" w:rsidRPr="00DD6546" w:rsidRDefault="00D72C04" w:rsidP="00DD6546">
      <w:pPr>
        <w:pStyle w:val="Bullet2"/>
        <w:numPr>
          <w:ilvl w:val="1"/>
          <w:numId w:val="31"/>
        </w:numPr>
        <w:tabs>
          <w:tab w:val="num" w:pos="794"/>
        </w:tabs>
        <w:ind w:left="794" w:hanging="397"/>
        <w:rPr>
          <w:rFonts w:cs="Arial"/>
        </w:rPr>
      </w:pPr>
      <w:r w:rsidRPr="00DD6546">
        <w:rPr>
          <w:rFonts w:cs="Arial"/>
        </w:rPr>
        <w:t>Clients with a single support period who are in-scope for the indicator denominator</w:t>
      </w:r>
    </w:p>
    <w:p w14:paraId="085A7199" w14:textId="77777777" w:rsidR="00D72C04" w:rsidRPr="00DD6546" w:rsidRDefault="00D72C04" w:rsidP="00DD6546">
      <w:pPr>
        <w:pStyle w:val="Bullet2"/>
        <w:numPr>
          <w:ilvl w:val="1"/>
          <w:numId w:val="31"/>
        </w:numPr>
        <w:tabs>
          <w:tab w:val="num" w:pos="794"/>
        </w:tabs>
        <w:ind w:left="794" w:hanging="397"/>
        <w:rPr>
          <w:rFonts w:cs="Arial"/>
        </w:rPr>
      </w:pPr>
      <w:r w:rsidRPr="00DD6546">
        <w:rPr>
          <w:rFonts w:cs="Arial"/>
        </w:rPr>
        <w:t>Clients with multiple support periods who are in-scope for the indicator denominator</w:t>
      </w:r>
    </w:p>
    <w:p w14:paraId="10C4A8BE" w14:textId="77777777" w:rsidR="00D72C04" w:rsidRPr="00DD6546" w:rsidRDefault="00D72C04" w:rsidP="00DD6546">
      <w:pPr>
        <w:pStyle w:val="Bullet2"/>
        <w:numPr>
          <w:ilvl w:val="1"/>
          <w:numId w:val="31"/>
        </w:numPr>
        <w:tabs>
          <w:tab w:val="num" w:pos="794"/>
        </w:tabs>
        <w:ind w:left="794" w:hanging="397"/>
        <w:rPr>
          <w:rFonts w:cs="Arial"/>
        </w:rPr>
      </w:pPr>
      <w:r w:rsidRPr="00DD6546">
        <w:rPr>
          <w:rFonts w:cs="Arial"/>
        </w:rPr>
        <w:t>Assessment of whether a client is in the numerator</w:t>
      </w:r>
    </w:p>
    <w:p w14:paraId="638A304D" w14:textId="085BEEC7" w:rsidR="00D72C04" w:rsidRPr="00DD6546" w:rsidRDefault="00D72C04" w:rsidP="00DD6546">
      <w:pPr>
        <w:pStyle w:val="Bullet2"/>
        <w:numPr>
          <w:ilvl w:val="1"/>
          <w:numId w:val="31"/>
        </w:numPr>
        <w:tabs>
          <w:tab w:val="num" w:pos="794"/>
        </w:tabs>
        <w:ind w:left="794" w:hanging="397"/>
        <w:rPr>
          <w:rFonts w:cs="Arial"/>
        </w:rPr>
      </w:pPr>
      <w:r w:rsidRPr="00DD6546">
        <w:rPr>
          <w:rFonts w:cs="Arial"/>
        </w:rPr>
        <w:t>Broad overview of the assessment of Not stated housing situation and clients with multiple support periods commencing on the same day.</w:t>
      </w:r>
    </w:p>
    <w:p w14:paraId="5BFCB994" w14:textId="09684A05" w:rsidR="00F04EC2" w:rsidRPr="00DD6546" w:rsidRDefault="00F04EC2" w:rsidP="00DD6546">
      <w:pPr>
        <w:pStyle w:val="Bullet2"/>
        <w:rPr>
          <w:rFonts w:cs="Arial"/>
        </w:rPr>
      </w:pPr>
    </w:p>
    <w:p w14:paraId="00EC60D6" w14:textId="074B9C01" w:rsidR="00F04EC2" w:rsidRDefault="00F04EC2" w:rsidP="00F04EC2">
      <w:pPr>
        <w:pStyle w:val="AIHWbodytext"/>
        <w:spacing w:before="120"/>
        <w:rPr>
          <w:rFonts w:asciiTheme="minorHAnsi" w:hAnsiTheme="minorHAnsi" w:cstheme="minorHAnsi"/>
        </w:rPr>
      </w:pPr>
    </w:p>
    <w:p w14:paraId="7AAC96EC" w14:textId="4A26C8CB" w:rsidR="00F04EC2" w:rsidRDefault="00F04EC2" w:rsidP="00F04EC2">
      <w:pPr>
        <w:pStyle w:val="AIHWbodytext"/>
        <w:spacing w:before="120"/>
        <w:rPr>
          <w:rFonts w:asciiTheme="minorHAnsi" w:hAnsiTheme="minorHAnsi" w:cstheme="minorHAnsi"/>
        </w:rPr>
      </w:pPr>
    </w:p>
    <w:p w14:paraId="4E1EFC06" w14:textId="77777777" w:rsidR="0059714D" w:rsidRDefault="0059714D" w:rsidP="00F04EC2">
      <w:pPr>
        <w:spacing w:before="120"/>
        <w:rPr>
          <w:rFonts w:asciiTheme="minorHAnsi" w:hAnsiTheme="minorHAnsi" w:cstheme="minorHAnsi"/>
          <w:b/>
          <w:szCs w:val="20"/>
        </w:rPr>
      </w:pPr>
      <w:r>
        <w:rPr>
          <w:rFonts w:asciiTheme="minorHAnsi" w:hAnsiTheme="minorHAnsi" w:cstheme="minorHAnsi"/>
          <w:b/>
          <w:szCs w:val="20"/>
        </w:rPr>
        <w:br w:type="page"/>
      </w:r>
    </w:p>
    <w:p w14:paraId="3B3D5727" w14:textId="7252E0A5" w:rsidR="00F04EC2" w:rsidRDefault="00F04EC2" w:rsidP="00DD6546">
      <w:pPr>
        <w:pStyle w:val="AIHWbodytext"/>
        <w:rPr>
          <w:rFonts w:asciiTheme="minorHAnsi" w:hAnsiTheme="minorHAnsi" w:cstheme="minorHAnsi"/>
          <w:b/>
          <w:lang w:eastAsia="en-AU"/>
        </w:rPr>
      </w:pPr>
      <w:r w:rsidRPr="00D461B8">
        <w:rPr>
          <w:rFonts w:asciiTheme="minorHAnsi" w:hAnsiTheme="minorHAnsi" w:cstheme="minorHAnsi"/>
          <w:b/>
          <w:lang w:eastAsia="en-AU"/>
        </w:rPr>
        <w:t>Denominator assessment</w:t>
      </w:r>
      <w:r w:rsidR="00EA40EA" w:rsidRPr="00D461B8">
        <w:rPr>
          <w:rFonts w:asciiTheme="minorHAnsi" w:hAnsiTheme="minorHAnsi" w:cstheme="minorHAnsi"/>
          <w:b/>
          <w:lang w:eastAsia="en-AU"/>
        </w:rPr>
        <w:t xml:space="preserve"> – D</w:t>
      </w:r>
      <w:r w:rsidRPr="00D461B8">
        <w:rPr>
          <w:rFonts w:asciiTheme="minorHAnsi" w:hAnsiTheme="minorHAnsi" w:cstheme="minorHAnsi"/>
          <w:b/>
          <w:lang w:eastAsia="en-AU"/>
        </w:rPr>
        <w:t xml:space="preserve">iagram 1: </w:t>
      </w:r>
      <w:r w:rsidR="00EA40EA" w:rsidRPr="00D461B8">
        <w:rPr>
          <w:rFonts w:asciiTheme="minorHAnsi" w:hAnsiTheme="minorHAnsi" w:cstheme="minorHAnsi"/>
          <w:b/>
          <w:lang w:eastAsia="en-AU"/>
        </w:rPr>
        <w:t>Illustration of</w:t>
      </w:r>
      <w:r w:rsidRPr="00D461B8">
        <w:rPr>
          <w:rFonts w:asciiTheme="minorHAnsi" w:hAnsiTheme="minorHAnsi" w:cstheme="minorHAnsi"/>
          <w:b/>
          <w:lang w:eastAsia="en-AU"/>
        </w:rPr>
        <w:t xml:space="preserve"> clients with a single support period who are in-scope for the indicator denominator </w:t>
      </w:r>
    </w:p>
    <w:p w14:paraId="7080FE91" w14:textId="77777777" w:rsidR="00D461B8" w:rsidRPr="00D461B8" w:rsidRDefault="00D461B8" w:rsidP="00DD6546">
      <w:pPr>
        <w:pStyle w:val="AIHWbodytext"/>
        <w:rPr>
          <w:rFonts w:asciiTheme="minorHAnsi" w:hAnsiTheme="minorHAnsi" w:cstheme="minorHAnsi"/>
          <w:b/>
          <w:lang w:eastAsia="en-AU"/>
        </w:rPr>
      </w:pPr>
    </w:p>
    <w:p w14:paraId="6BB0E285" w14:textId="77777777" w:rsidR="00F04EC2" w:rsidRPr="003C0449" w:rsidRDefault="00F04EC2" w:rsidP="00F04EC2">
      <w:pPr>
        <w:spacing w:before="120"/>
        <w:rPr>
          <w:rFonts w:asciiTheme="minorHAnsi" w:hAnsiTheme="minorHAnsi"/>
          <w:b/>
          <w:szCs w:val="20"/>
        </w:rPr>
      </w:pPr>
      <w:r w:rsidRPr="003C0449">
        <w:rPr>
          <w:rFonts w:asciiTheme="minorHAnsi" w:hAnsiTheme="minorHAnsi"/>
          <w:b/>
          <w:noProof/>
          <w:szCs w:val="20"/>
        </w:rPr>
        <w:drawing>
          <wp:inline distT="0" distB="0" distL="0" distR="0" wp14:anchorId="2D28B319" wp14:editId="13A0A13E">
            <wp:extent cx="5959656" cy="3736340"/>
            <wp:effectExtent l="0" t="0" r="3175" b="0"/>
            <wp:docPr id="8" name="Picture 8"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box and whisker chart&#10;&#10;Description automatically generated"/>
                    <pic:cNvPicPr>
                      <a:picLocks noChangeAspect="1" noChangeArrowheads="1"/>
                    </pic:cNvPicPr>
                  </pic:nvPicPr>
                  <pic:blipFill rotWithShape="1">
                    <a:blip r:embed="rId53" cstate="print">
                      <a:extLst>
                        <a:ext uri="{28A0092B-C50C-407E-A947-70E740481C1C}">
                          <a14:useLocalDpi xmlns:a14="http://schemas.microsoft.com/office/drawing/2010/main" val="0"/>
                        </a:ext>
                      </a:extLst>
                    </a:blip>
                    <a:srcRect/>
                    <a:stretch/>
                  </pic:blipFill>
                  <pic:spPr bwMode="auto">
                    <a:xfrm>
                      <a:off x="0" y="0"/>
                      <a:ext cx="5971120" cy="3743527"/>
                    </a:xfrm>
                    <a:prstGeom prst="rect">
                      <a:avLst/>
                    </a:prstGeom>
                    <a:noFill/>
                    <a:ln>
                      <a:noFill/>
                    </a:ln>
                    <a:extLst>
                      <a:ext uri="{53640926-AAD7-44D8-BBD7-CCE9431645EC}">
                        <a14:shadowObscured xmlns:a14="http://schemas.microsoft.com/office/drawing/2010/main"/>
                      </a:ext>
                    </a:extLst>
                  </pic:spPr>
                </pic:pic>
              </a:graphicData>
            </a:graphic>
          </wp:inline>
        </w:drawing>
      </w:r>
    </w:p>
    <w:p w14:paraId="3881E345" w14:textId="77777777" w:rsidR="00D461B8" w:rsidRPr="00D461B8" w:rsidRDefault="00D461B8" w:rsidP="00EE53F2">
      <w:pPr>
        <w:pStyle w:val="AIHWbodytext"/>
        <w:spacing w:before="0" w:after="0"/>
        <w:rPr>
          <w:rFonts w:cs="Arial"/>
          <w:i/>
          <w:iCs/>
          <w:sz w:val="20"/>
          <w:szCs w:val="18"/>
        </w:rPr>
      </w:pPr>
      <w:r w:rsidRPr="00D461B8">
        <w:rPr>
          <w:rFonts w:cs="Arial"/>
          <w:i/>
          <w:iCs/>
          <w:sz w:val="20"/>
          <w:szCs w:val="18"/>
        </w:rPr>
        <w:t xml:space="preserve">AR = At risk. H = Homeless. </w:t>
      </w:r>
    </w:p>
    <w:p w14:paraId="69F8A5BB" w14:textId="77777777" w:rsidR="00D461B8" w:rsidRPr="00D461B8" w:rsidRDefault="00D461B8" w:rsidP="00EE53F2">
      <w:pPr>
        <w:pStyle w:val="AIHWbodytext"/>
        <w:spacing w:before="0" w:after="0"/>
        <w:rPr>
          <w:rFonts w:cs="Arial"/>
          <w:i/>
          <w:iCs/>
          <w:sz w:val="20"/>
          <w:szCs w:val="18"/>
        </w:rPr>
      </w:pPr>
      <w:r w:rsidRPr="00D461B8">
        <w:rPr>
          <w:rFonts w:cs="Arial"/>
          <w:i/>
          <w:iCs/>
          <w:sz w:val="20"/>
          <w:szCs w:val="18"/>
        </w:rPr>
        <w:t>Open ended lines represent any possible housing situation at that specific time point.</w:t>
      </w:r>
    </w:p>
    <w:p w14:paraId="20AB6C69" w14:textId="77777777" w:rsidR="00D461B8" w:rsidRDefault="00D461B8" w:rsidP="00DD6546">
      <w:pPr>
        <w:pStyle w:val="AIHWbodytext"/>
        <w:rPr>
          <w:rFonts w:cs="Arial"/>
        </w:rPr>
      </w:pPr>
    </w:p>
    <w:p w14:paraId="7BEEEAD8" w14:textId="4D12F7D2" w:rsidR="00F04EC2" w:rsidRPr="00DD6546" w:rsidRDefault="00F04EC2" w:rsidP="00DD6546">
      <w:pPr>
        <w:pStyle w:val="AIHWbodytext"/>
        <w:rPr>
          <w:rFonts w:cs="Arial"/>
        </w:rPr>
      </w:pPr>
      <w:r w:rsidRPr="00DD6546">
        <w:rPr>
          <w:rFonts w:cs="Arial"/>
        </w:rPr>
        <w:t xml:space="preserve">The following table relates to </w:t>
      </w:r>
      <w:r w:rsidR="00EE53F2">
        <w:rPr>
          <w:rFonts w:cs="Arial"/>
        </w:rPr>
        <w:t xml:space="preserve">Diagram 1 </w:t>
      </w:r>
      <w:r w:rsidRPr="00DD6546">
        <w:rPr>
          <w:rFonts w:cs="Arial"/>
        </w:rPr>
        <w:t xml:space="preserve">above which is a basic illustration of clients with single support periods. It lists the reason for the inclusion/exclusion of a client from the denominator. </w:t>
      </w:r>
    </w:p>
    <w:tbl>
      <w:tblPr>
        <w:tblStyle w:val="TableGrid30"/>
        <w:tblW w:w="9351" w:type="dxa"/>
        <w:tblLook w:val="04A0" w:firstRow="1" w:lastRow="0" w:firstColumn="1" w:lastColumn="0" w:noHBand="0" w:noVBand="1"/>
      </w:tblPr>
      <w:tblGrid>
        <w:gridCol w:w="1129"/>
        <w:gridCol w:w="8222"/>
      </w:tblGrid>
      <w:tr w:rsidR="00F04EC2" w:rsidRPr="00DD6546" w14:paraId="165C87AB" w14:textId="77777777" w:rsidTr="00517E3D">
        <w:tc>
          <w:tcPr>
            <w:tcW w:w="1129" w:type="dxa"/>
          </w:tcPr>
          <w:p w14:paraId="17B45B47" w14:textId="77777777" w:rsidR="00F04EC2" w:rsidRPr="00DD6546" w:rsidRDefault="00F04EC2" w:rsidP="00517E3D">
            <w:pPr>
              <w:spacing w:before="120"/>
              <w:rPr>
                <w:rFonts w:cs="Arial"/>
                <w:b/>
                <w:sz w:val="16"/>
                <w:szCs w:val="16"/>
              </w:rPr>
            </w:pPr>
            <w:r w:rsidRPr="00DD6546">
              <w:rPr>
                <w:rFonts w:cs="Arial"/>
                <w:b/>
                <w:sz w:val="16"/>
                <w:szCs w:val="16"/>
              </w:rPr>
              <w:t>Client #</w:t>
            </w:r>
          </w:p>
        </w:tc>
        <w:tc>
          <w:tcPr>
            <w:tcW w:w="8222" w:type="dxa"/>
          </w:tcPr>
          <w:p w14:paraId="7D1E818A" w14:textId="521EB3CB" w:rsidR="00F04EC2" w:rsidRPr="00DD6546" w:rsidRDefault="00F04EC2" w:rsidP="00517E3D">
            <w:pPr>
              <w:spacing w:before="120"/>
              <w:rPr>
                <w:rFonts w:cs="Arial"/>
                <w:b/>
                <w:sz w:val="16"/>
                <w:szCs w:val="16"/>
              </w:rPr>
            </w:pPr>
            <w:r w:rsidRPr="00DD6546">
              <w:rPr>
                <w:rFonts w:cs="Arial"/>
                <w:b/>
                <w:sz w:val="16"/>
                <w:szCs w:val="16"/>
              </w:rPr>
              <w:t>Inclusion/</w:t>
            </w:r>
            <w:r w:rsidR="00D461B8" w:rsidRPr="00DD6546">
              <w:rPr>
                <w:rFonts w:cs="Arial"/>
                <w:b/>
                <w:sz w:val="16"/>
                <w:szCs w:val="16"/>
              </w:rPr>
              <w:t xml:space="preserve">exclusion </w:t>
            </w:r>
            <w:r w:rsidRPr="00DD6546">
              <w:rPr>
                <w:rFonts w:cs="Arial"/>
                <w:b/>
                <w:sz w:val="16"/>
                <w:szCs w:val="16"/>
              </w:rPr>
              <w:t xml:space="preserve">and </w:t>
            </w:r>
            <w:r w:rsidR="00D461B8" w:rsidRPr="00DD6546">
              <w:rPr>
                <w:rFonts w:cs="Arial"/>
                <w:b/>
                <w:sz w:val="16"/>
                <w:szCs w:val="16"/>
              </w:rPr>
              <w:t>reason</w:t>
            </w:r>
          </w:p>
        </w:tc>
      </w:tr>
      <w:tr w:rsidR="00F04EC2" w:rsidRPr="00DD6546" w14:paraId="2DAA9E47" w14:textId="77777777" w:rsidTr="00517E3D">
        <w:tc>
          <w:tcPr>
            <w:tcW w:w="1129" w:type="dxa"/>
          </w:tcPr>
          <w:p w14:paraId="76CD5A66" w14:textId="77777777" w:rsidR="00F04EC2" w:rsidRPr="00DD6546" w:rsidRDefault="00F04EC2" w:rsidP="00517E3D">
            <w:pPr>
              <w:spacing w:before="120"/>
              <w:rPr>
                <w:rFonts w:cs="Arial"/>
                <w:sz w:val="16"/>
                <w:szCs w:val="16"/>
              </w:rPr>
            </w:pPr>
            <w:r w:rsidRPr="00DD6546">
              <w:rPr>
                <w:rFonts w:cs="Arial"/>
                <w:sz w:val="16"/>
                <w:szCs w:val="16"/>
              </w:rPr>
              <w:t>Client A</w:t>
            </w:r>
          </w:p>
        </w:tc>
        <w:tc>
          <w:tcPr>
            <w:tcW w:w="8222" w:type="dxa"/>
          </w:tcPr>
          <w:p w14:paraId="3F11EC7F" w14:textId="77777777" w:rsidR="00F04EC2" w:rsidRPr="00DD6546" w:rsidRDefault="00F04EC2" w:rsidP="00517E3D">
            <w:pPr>
              <w:spacing w:before="120"/>
              <w:rPr>
                <w:rFonts w:cs="Arial"/>
                <w:sz w:val="16"/>
                <w:szCs w:val="16"/>
              </w:rPr>
            </w:pPr>
            <w:r w:rsidRPr="00DD6546">
              <w:rPr>
                <w:rFonts w:cs="Arial"/>
                <w:b/>
                <w:sz w:val="16"/>
                <w:szCs w:val="16"/>
              </w:rPr>
              <w:t xml:space="preserve">YES. </w:t>
            </w:r>
            <w:r w:rsidRPr="00DD6546">
              <w:rPr>
                <w:rFonts w:cs="Arial"/>
                <w:sz w:val="16"/>
                <w:szCs w:val="16"/>
              </w:rPr>
              <w:t>A support period that commenced At Risk and ended within six month follow up period.</w:t>
            </w:r>
          </w:p>
        </w:tc>
      </w:tr>
      <w:tr w:rsidR="00F04EC2" w:rsidRPr="00DD6546" w14:paraId="002CE24C" w14:textId="77777777" w:rsidTr="00517E3D">
        <w:tc>
          <w:tcPr>
            <w:tcW w:w="1129" w:type="dxa"/>
          </w:tcPr>
          <w:p w14:paraId="0586D0FB" w14:textId="77777777" w:rsidR="00F04EC2" w:rsidRPr="00DD6546" w:rsidRDefault="00F04EC2" w:rsidP="00517E3D">
            <w:pPr>
              <w:spacing w:before="120"/>
              <w:rPr>
                <w:rFonts w:cs="Arial"/>
                <w:sz w:val="16"/>
                <w:szCs w:val="16"/>
              </w:rPr>
            </w:pPr>
            <w:r w:rsidRPr="00DD6546">
              <w:rPr>
                <w:rFonts w:cs="Arial"/>
                <w:sz w:val="16"/>
                <w:szCs w:val="16"/>
              </w:rPr>
              <w:t>Client B</w:t>
            </w:r>
          </w:p>
        </w:tc>
        <w:tc>
          <w:tcPr>
            <w:tcW w:w="8222" w:type="dxa"/>
          </w:tcPr>
          <w:p w14:paraId="200BCFBA" w14:textId="77777777" w:rsidR="00F04EC2" w:rsidRPr="00DD6546" w:rsidRDefault="00F04EC2" w:rsidP="00517E3D">
            <w:pPr>
              <w:spacing w:before="120"/>
              <w:rPr>
                <w:rFonts w:cs="Arial"/>
                <w:sz w:val="16"/>
                <w:szCs w:val="16"/>
              </w:rPr>
            </w:pPr>
            <w:r w:rsidRPr="00DD6546">
              <w:rPr>
                <w:rFonts w:cs="Arial"/>
                <w:b/>
                <w:sz w:val="16"/>
                <w:szCs w:val="16"/>
              </w:rPr>
              <w:t xml:space="preserve">YES. </w:t>
            </w:r>
            <w:r w:rsidRPr="00DD6546">
              <w:rPr>
                <w:rFonts w:cs="Arial"/>
                <w:sz w:val="16"/>
                <w:szCs w:val="16"/>
              </w:rPr>
              <w:t xml:space="preserve">A support period that commenced At Risk and ended within the six-month follow up period. Client B demonstrates that the support period may end after the end of the in-scope period, </w:t>
            </w:r>
            <w:proofErr w:type="gramStart"/>
            <w:r w:rsidRPr="00DD6546">
              <w:rPr>
                <w:rFonts w:cs="Arial"/>
                <w:sz w:val="16"/>
                <w:szCs w:val="16"/>
              </w:rPr>
              <w:t>as long as</w:t>
            </w:r>
            <w:proofErr w:type="gramEnd"/>
            <w:r w:rsidRPr="00DD6546">
              <w:rPr>
                <w:rFonts w:cs="Arial"/>
                <w:sz w:val="16"/>
                <w:szCs w:val="16"/>
              </w:rPr>
              <w:t xml:space="preserve"> it ends within the six-month follow up period. </w:t>
            </w:r>
          </w:p>
        </w:tc>
      </w:tr>
      <w:tr w:rsidR="00F04EC2" w:rsidRPr="00DD6546" w14:paraId="790CA4A9" w14:textId="77777777" w:rsidTr="00517E3D">
        <w:tc>
          <w:tcPr>
            <w:tcW w:w="1129" w:type="dxa"/>
          </w:tcPr>
          <w:p w14:paraId="54F23B46" w14:textId="77777777" w:rsidR="00F04EC2" w:rsidRPr="00DD6546" w:rsidRDefault="00F04EC2" w:rsidP="00517E3D">
            <w:pPr>
              <w:spacing w:before="120"/>
              <w:rPr>
                <w:rFonts w:cs="Arial"/>
                <w:sz w:val="16"/>
                <w:szCs w:val="16"/>
              </w:rPr>
            </w:pPr>
            <w:r w:rsidRPr="00DD6546">
              <w:rPr>
                <w:rFonts w:cs="Arial"/>
                <w:sz w:val="16"/>
                <w:szCs w:val="16"/>
              </w:rPr>
              <w:t>Client C</w:t>
            </w:r>
          </w:p>
        </w:tc>
        <w:tc>
          <w:tcPr>
            <w:tcW w:w="8222" w:type="dxa"/>
          </w:tcPr>
          <w:p w14:paraId="6BD8D913" w14:textId="77777777" w:rsidR="00F04EC2" w:rsidRPr="00DD6546" w:rsidRDefault="00F04EC2" w:rsidP="00517E3D">
            <w:pPr>
              <w:spacing w:before="120"/>
              <w:rPr>
                <w:rFonts w:cs="Arial"/>
                <w:sz w:val="16"/>
                <w:szCs w:val="16"/>
              </w:rPr>
            </w:pPr>
            <w:r w:rsidRPr="00DD6546">
              <w:rPr>
                <w:rFonts w:cs="Arial"/>
                <w:b/>
                <w:sz w:val="16"/>
                <w:szCs w:val="16"/>
              </w:rPr>
              <w:t xml:space="preserve">NO. </w:t>
            </w:r>
            <w:r w:rsidRPr="00DD6546">
              <w:rPr>
                <w:rFonts w:cs="Arial"/>
                <w:sz w:val="16"/>
                <w:szCs w:val="16"/>
              </w:rPr>
              <w:t xml:space="preserve">The single </w:t>
            </w:r>
            <w:proofErr w:type="gramStart"/>
            <w:r w:rsidRPr="00DD6546">
              <w:rPr>
                <w:rFonts w:cs="Arial"/>
                <w:sz w:val="16"/>
                <w:szCs w:val="16"/>
              </w:rPr>
              <w:t>At Risk</w:t>
            </w:r>
            <w:proofErr w:type="gramEnd"/>
            <w:r w:rsidRPr="00DD6546">
              <w:rPr>
                <w:rFonts w:cs="Arial"/>
                <w:sz w:val="16"/>
                <w:szCs w:val="16"/>
              </w:rPr>
              <w:t xml:space="preserve"> support period ends after the six-month follow up period. </w:t>
            </w:r>
          </w:p>
        </w:tc>
      </w:tr>
      <w:tr w:rsidR="00F04EC2" w:rsidRPr="00DD6546" w14:paraId="2E6C8A6B" w14:textId="77777777" w:rsidTr="00517E3D">
        <w:tc>
          <w:tcPr>
            <w:tcW w:w="1129" w:type="dxa"/>
          </w:tcPr>
          <w:p w14:paraId="7515E3D9" w14:textId="77777777" w:rsidR="00F04EC2" w:rsidRPr="00DD6546" w:rsidRDefault="00F04EC2" w:rsidP="00517E3D">
            <w:pPr>
              <w:spacing w:before="120"/>
              <w:rPr>
                <w:rFonts w:cs="Arial"/>
                <w:sz w:val="16"/>
                <w:szCs w:val="16"/>
              </w:rPr>
            </w:pPr>
            <w:r w:rsidRPr="00DD6546">
              <w:rPr>
                <w:rFonts w:cs="Arial"/>
                <w:sz w:val="16"/>
                <w:szCs w:val="16"/>
              </w:rPr>
              <w:t>Client D</w:t>
            </w:r>
          </w:p>
        </w:tc>
        <w:tc>
          <w:tcPr>
            <w:tcW w:w="8222" w:type="dxa"/>
          </w:tcPr>
          <w:p w14:paraId="63D2F0CB" w14:textId="77777777" w:rsidR="00F04EC2" w:rsidRPr="00DD6546" w:rsidRDefault="00F04EC2" w:rsidP="00517E3D">
            <w:pPr>
              <w:spacing w:before="120"/>
              <w:rPr>
                <w:rFonts w:cs="Arial"/>
                <w:sz w:val="16"/>
                <w:szCs w:val="16"/>
              </w:rPr>
            </w:pPr>
            <w:r w:rsidRPr="00DD6546">
              <w:rPr>
                <w:rFonts w:cs="Arial"/>
                <w:b/>
                <w:sz w:val="16"/>
                <w:szCs w:val="16"/>
              </w:rPr>
              <w:t xml:space="preserve">NO. </w:t>
            </w:r>
            <w:r w:rsidRPr="00DD6546">
              <w:rPr>
                <w:rFonts w:cs="Arial"/>
                <w:sz w:val="16"/>
                <w:szCs w:val="16"/>
              </w:rPr>
              <w:t xml:space="preserve">The </w:t>
            </w:r>
            <w:proofErr w:type="gramStart"/>
            <w:r w:rsidRPr="00DD6546">
              <w:rPr>
                <w:rFonts w:cs="Arial"/>
                <w:sz w:val="16"/>
                <w:szCs w:val="16"/>
              </w:rPr>
              <w:t>At</w:t>
            </w:r>
            <w:proofErr w:type="gramEnd"/>
            <w:r w:rsidRPr="00DD6546">
              <w:rPr>
                <w:rFonts w:cs="Arial"/>
                <w:sz w:val="16"/>
                <w:szCs w:val="16"/>
              </w:rPr>
              <w:t xml:space="preserve"> Risk support period ends after the six-month follow up period, illustrating a very long support period that extends beyond the financial year.</w:t>
            </w:r>
          </w:p>
        </w:tc>
      </w:tr>
    </w:tbl>
    <w:p w14:paraId="1506E937" w14:textId="77777777" w:rsidR="00F04EC2" w:rsidRPr="003C0449" w:rsidRDefault="00F04EC2" w:rsidP="00F04EC2">
      <w:pPr>
        <w:spacing w:before="120"/>
        <w:rPr>
          <w:rFonts w:asciiTheme="minorHAnsi" w:hAnsiTheme="minorHAnsi"/>
          <w:b/>
          <w:szCs w:val="20"/>
        </w:rPr>
      </w:pPr>
    </w:p>
    <w:p w14:paraId="452D9B40" w14:textId="77777777" w:rsidR="00F04EC2" w:rsidRPr="003C0449" w:rsidRDefault="00F04EC2" w:rsidP="00F04EC2">
      <w:pPr>
        <w:spacing w:before="120"/>
        <w:rPr>
          <w:rFonts w:asciiTheme="minorHAnsi" w:hAnsiTheme="minorHAnsi"/>
          <w:b/>
          <w:szCs w:val="20"/>
        </w:rPr>
      </w:pPr>
    </w:p>
    <w:p w14:paraId="01A9CFE7" w14:textId="367D5CAF" w:rsidR="00F04EC2" w:rsidRPr="003C0449" w:rsidRDefault="00F04EC2" w:rsidP="00F04EC2">
      <w:pPr>
        <w:spacing w:before="120"/>
        <w:rPr>
          <w:rFonts w:asciiTheme="minorHAnsi" w:hAnsiTheme="minorHAnsi"/>
          <w:szCs w:val="20"/>
        </w:rPr>
      </w:pPr>
      <w:r w:rsidRPr="00D461B8">
        <w:rPr>
          <w:rFonts w:asciiTheme="minorHAnsi" w:hAnsiTheme="minorHAnsi" w:cstheme="minorHAnsi"/>
          <w:b/>
          <w:szCs w:val="20"/>
        </w:rPr>
        <w:t xml:space="preserve">Denominator assessment </w:t>
      </w:r>
      <w:r w:rsidR="00EA40EA" w:rsidRPr="00D461B8">
        <w:rPr>
          <w:rFonts w:asciiTheme="minorHAnsi" w:hAnsiTheme="minorHAnsi" w:cstheme="minorHAnsi"/>
          <w:b/>
          <w:szCs w:val="20"/>
        </w:rPr>
        <w:t>– D</w:t>
      </w:r>
      <w:r w:rsidRPr="00D461B8">
        <w:rPr>
          <w:rFonts w:asciiTheme="minorHAnsi" w:hAnsiTheme="minorHAnsi" w:cstheme="minorHAnsi"/>
          <w:b/>
          <w:szCs w:val="20"/>
        </w:rPr>
        <w:t xml:space="preserve">iagram 2: </w:t>
      </w:r>
      <w:r w:rsidR="00EA40EA" w:rsidRPr="00D461B8">
        <w:rPr>
          <w:rFonts w:asciiTheme="minorHAnsi" w:hAnsiTheme="minorHAnsi" w:cstheme="minorHAnsi"/>
          <w:b/>
          <w:szCs w:val="20"/>
        </w:rPr>
        <w:t>Illustration</w:t>
      </w:r>
      <w:r w:rsidRPr="00D461B8">
        <w:rPr>
          <w:rFonts w:asciiTheme="minorHAnsi" w:hAnsiTheme="minorHAnsi" w:cstheme="minorHAnsi"/>
          <w:b/>
          <w:szCs w:val="20"/>
        </w:rPr>
        <w:t xml:space="preserve"> of clients with multiple support periods who are in-scope for the indicator denominator</w:t>
      </w:r>
      <w:r w:rsidRPr="003C0449">
        <w:rPr>
          <w:rFonts w:asciiTheme="minorHAnsi" w:hAnsiTheme="minorHAnsi"/>
          <w:noProof/>
          <w:szCs w:val="20"/>
        </w:rPr>
        <w:drawing>
          <wp:inline distT="0" distB="0" distL="0" distR="0" wp14:anchorId="722871D4" wp14:editId="545661C1">
            <wp:extent cx="5778500" cy="7277100"/>
            <wp:effectExtent l="0" t="0" r="0" b="0"/>
            <wp:docPr id="10" name="Picture 10"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 bar chart&#10;&#10;Description automatically generated"/>
                    <pic:cNvPicPr>
                      <a:picLocks noChangeAspect="1" noChangeArrowheads="1"/>
                    </pic:cNvPicPr>
                  </pic:nvPicPr>
                  <pic:blipFill rotWithShape="1">
                    <a:blip r:embed="rId54" cstate="print">
                      <a:extLst>
                        <a:ext uri="{28A0092B-C50C-407E-A947-70E740481C1C}">
                          <a14:useLocalDpi xmlns:a14="http://schemas.microsoft.com/office/drawing/2010/main" val="0"/>
                        </a:ext>
                      </a:extLst>
                    </a:blip>
                    <a:srcRect/>
                    <a:stretch/>
                  </pic:blipFill>
                  <pic:spPr bwMode="auto">
                    <a:xfrm>
                      <a:off x="0" y="0"/>
                      <a:ext cx="5791013" cy="7292858"/>
                    </a:xfrm>
                    <a:prstGeom prst="rect">
                      <a:avLst/>
                    </a:prstGeom>
                    <a:noFill/>
                    <a:ln>
                      <a:noFill/>
                    </a:ln>
                    <a:extLst>
                      <a:ext uri="{53640926-AAD7-44D8-BBD7-CCE9431645EC}">
                        <a14:shadowObscured xmlns:a14="http://schemas.microsoft.com/office/drawing/2010/main"/>
                      </a:ext>
                    </a:extLst>
                  </pic:spPr>
                </pic:pic>
              </a:graphicData>
            </a:graphic>
          </wp:inline>
        </w:drawing>
      </w:r>
    </w:p>
    <w:p w14:paraId="56BF8A43" w14:textId="77777777" w:rsidR="00EE53F2" w:rsidRPr="00D461B8" w:rsidRDefault="00EE53F2" w:rsidP="00EE53F2">
      <w:pPr>
        <w:pStyle w:val="AIHWbodytext"/>
        <w:spacing w:before="0" w:after="0"/>
        <w:rPr>
          <w:rFonts w:cs="Arial"/>
          <w:i/>
          <w:iCs/>
          <w:sz w:val="20"/>
          <w:szCs w:val="18"/>
        </w:rPr>
      </w:pPr>
      <w:r w:rsidRPr="00D461B8">
        <w:rPr>
          <w:rFonts w:cs="Arial"/>
          <w:i/>
          <w:iCs/>
          <w:sz w:val="20"/>
          <w:szCs w:val="18"/>
        </w:rPr>
        <w:t xml:space="preserve">AR = At risk. H = Homeless. </w:t>
      </w:r>
    </w:p>
    <w:p w14:paraId="0D280FEC" w14:textId="77777777" w:rsidR="00EE53F2" w:rsidRPr="00D461B8" w:rsidRDefault="00EE53F2" w:rsidP="00EE53F2">
      <w:pPr>
        <w:pStyle w:val="AIHWbodytext"/>
        <w:spacing w:before="0" w:after="0"/>
        <w:rPr>
          <w:rFonts w:cs="Arial"/>
          <w:i/>
          <w:iCs/>
          <w:sz w:val="20"/>
          <w:szCs w:val="18"/>
        </w:rPr>
      </w:pPr>
      <w:r w:rsidRPr="00D461B8">
        <w:rPr>
          <w:rFonts w:cs="Arial"/>
          <w:i/>
          <w:iCs/>
          <w:sz w:val="20"/>
          <w:szCs w:val="18"/>
        </w:rPr>
        <w:t>Open ended lines represent any possible housing situation at that specific time point.</w:t>
      </w:r>
    </w:p>
    <w:p w14:paraId="0D358C56" w14:textId="38E522C7" w:rsidR="00EE53F2" w:rsidRDefault="00EE53F2">
      <w:pPr>
        <w:spacing w:before="0" w:after="0" w:line="240" w:lineRule="auto"/>
        <w:rPr>
          <w:rFonts w:cs="Arial"/>
          <w:szCs w:val="20"/>
          <w:lang w:eastAsia="en-US"/>
        </w:rPr>
      </w:pPr>
    </w:p>
    <w:p w14:paraId="497404DC" w14:textId="02EB3A3A" w:rsidR="00EE53F2" w:rsidRDefault="00EE53F2" w:rsidP="00EE53F2">
      <w:pPr>
        <w:pStyle w:val="AIHWbodytext"/>
      </w:pPr>
    </w:p>
    <w:p w14:paraId="15256F6E" w14:textId="583096D2" w:rsidR="00EE53F2" w:rsidRDefault="00EE53F2" w:rsidP="00EE53F2">
      <w:pPr>
        <w:pStyle w:val="AIHWbodytext"/>
      </w:pPr>
    </w:p>
    <w:p w14:paraId="5B16C82F" w14:textId="77777777" w:rsidR="00EE53F2" w:rsidRPr="00EE53F2" w:rsidRDefault="00EE53F2" w:rsidP="00EE53F2">
      <w:pPr>
        <w:pStyle w:val="AIHWbodytext"/>
      </w:pPr>
    </w:p>
    <w:p w14:paraId="1F1FA0DE" w14:textId="77302FBA" w:rsidR="00F04EC2" w:rsidRPr="00DD6546" w:rsidRDefault="00EA40EA" w:rsidP="00DD6546">
      <w:pPr>
        <w:pStyle w:val="AIHWbodytext"/>
        <w:rPr>
          <w:rFonts w:cs="Arial"/>
        </w:rPr>
      </w:pPr>
      <w:r w:rsidRPr="00DD6546">
        <w:rPr>
          <w:rFonts w:cs="Arial"/>
        </w:rPr>
        <w:t>T</w:t>
      </w:r>
      <w:r w:rsidR="00F04EC2" w:rsidRPr="00DD6546">
        <w:rPr>
          <w:rFonts w:cs="Arial"/>
        </w:rPr>
        <w:t xml:space="preserve">he following table relates to </w:t>
      </w:r>
      <w:r w:rsidR="00EE53F2">
        <w:rPr>
          <w:rFonts w:cs="Arial"/>
        </w:rPr>
        <w:t xml:space="preserve">Diagram 2 </w:t>
      </w:r>
      <w:r w:rsidR="00F04EC2" w:rsidRPr="00DD6546">
        <w:rPr>
          <w:rFonts w:cs="Arial"/>
        </w:rPr>
        <w:t>above. It lists the reason for the inclusion/exclusion of a client from the denominator for clients with multiple support periods (black lines). The ‘ends’ of the support periods illustrate the various scenarios that underpin the inclusion/exclusion of the client in the denominator.</w:t>
      </w:r>
    </w:p>
    <w:tbl>
      <w:tblPr>
        <w:tblStyle w:val="TableGrid30"/>
        <w:tblW w:w="9351" w:type="dxa"/>
        <w:tblLook w:val="04A0" w:firstRow="1" w:lastRow="0" w:firstColumn="1" w:lastColumn="0" w:noHBand="0" w:noVBand="1"/>
      </w:tblPr>
      <w:tblGrid>
        <w:gridCol w:w="1129"/>
        <w:gridCol w:w="8222"/>
      </w:tblGrid>
      <w:tr w:rsidR="00F04EC2" w:rsidRPr="00DD6546" w14:paraId="0B941CD5" w14:textId="77777777" w:rsidTr="00517E3D">
        <w:tc>
          <w:tcPr>
            <w:tcW w:w="1129" w:type="dxa"/>
          </w:tcPr>
          <w:p w14:paraId="1B6B1A4D" w14:textId="77777777" w:rsidR="00F04EC2" w:rsidRPr="00DD6546" w:rsidRDefault="00F04EC2" w:rsidP="00517E3D">
            <w:pPr>
              <w:spacing w:before="120"/>
              <w:rPr>
                <w:rFonts w:cs="Arial"/>
                <w:b/>
                <w:sz w:val="16"/>
                <w:szCs w:val="16"/>
              </w:rPr>
            </w:pPr>
            <w:r w:rsidRPr="00DD6546">
              <w:rPr>
                <w:rFonts w:cs="Arial"/>
                <w:b/>
                <w:sz w:val="16"/>
                <w:szCs w:val="16"/>
              </w:rPr>
              <w:t>Client #</w:t>
            </w:r>
          </w:p>
        </w:tc>
        <w:tc>
          <w:tcPr>
            <w:tcW w:w="8222" w:type="dxa"/>
          </w:tcPr>
          <w:p w14:paraId="76DCB18B" w14:textId="6CB1D72F" w:rsidR="00F04EC2" w:rsidRPr="00DD6546" w:rsidRDefault="00F04EC2" w:rsidP="00517E3D">
            <w:pPr>
              <w:spacing w:before="120"/>
              <w:rPr>
                <w:rFonts w:cs="Arial"/>
                <w:b/>
                <w:sz w:val="16"/>
                <w:szCs w:val="16"/>
              </w:rPr>
            </w:pPr>
            <w:r w:rsidRPr="00DD6546">
              <w:rPr>
                <w:rFonts w:cs="Arial"/>
                <w:b/>
                <w:sz w:val="16"/>
                <w:szCs w:val="16"/>
              </w:rPr>
              <w:t>Inclusion/</w:t>
            </w:r>
            <w:r w:rsidR="00EE53F2" w:rsidRPr="00DD6546">
              <w:rPr>
                <w:rFonts w:cs="Arial"/>
                <w:b/>
                <w:sz w:val="16"/>
                <w:szCs w:val="16"/>
              </w:rPr>
              <w:t>exclusion and reason</w:t>
            </w:r>
          </w:p>
        </w:tc>
      </w:tr>
      <w:tr w:rsidR="00F04EC2" w:rsidRPr="00DD6546" w14:paraId="7B1B32B2" w14:textId="77777777" w:rsidTr="00517E3D">
        <w:tc>
          <w:tcPr>
            <w:tcW w:w="1129" w:type="dxa"/>
          </w:tcPr>
          <w:p w14:paraId="4C22CA41" w14:textId="77777777" w:rsidR="00F04EC2" w:rsidRPr="00DD6546" w:rsidRDefault="00F04EC2" w:rsidP="00517E3D">
            <w:pPr>
              <w:spacing w:before="120"/>
              <w:rPr>
                <w:rFonts w:cs="Arial"/>
                <w:sz w:val="16"/>
                <w:szCs w:val="16"/>
              </w:rPr>
            </w:pPr>
            <w:r w:rsidRPr="00DD6546">
              <w:rPr>
                <w:rFonts w:cs="Arial"/>
                <w:sz w:val="16"/>
                <w:szCs w:val="16"/>
              </w:rPr>
              <w:t>Client A</w:t>
            </w:r>
          </w:p>
        </w:tc>
        <w:tc>
          <w:tcPr>
            <w:tcW w:w="8222" w:type="dxa"/>
          </w:tcPr>
          <w:p w14:paraId="6DB60643" w14:textId="77777777" w:rsidR="00F04EC2" w:rsidRPr="00DD6546" w:rsidRDefault="00F04EC2" w:rsidP="00517E3D">
            <w:pPr>
              <w:spacing w:before="120"/>
              <w:rPr>
                <w:rFonts w:cs="Arial"/>
                <w:sz w:val="16"/>
                <w:szCs w:val="16"/>
              </w:rPr>
            </w:pPr>
            <w:r w:rsidRPr="00DD6546">
              <w:rPr>
                <w:rFonts w:cs="Arial"/>
                <w:b/>
                <w:sz w:val="16"/>
                <w:szCs w:val="16"/>
              </w:rPr>
              <w:t xml:space="preserve">YES. </w:t>
            </w:r>
            <w:r w:rsidRPr="00DD6546">
              <w:rPr>
                <w:rFonts w:cs="Arial"/>
                <w:sz w:val="16"/>
                <w:szCs w:val="16"/>
              </w:rPr>
              <w:t>A support period that commenced At Risk and ended within the six-month follow-up period. The other support period does not affect the client’s inclusion/exclusion from the denominator.</w:t>
            </w:r>
          </w:p>
        </w:tc>
      </w:tr>
      <w:tr w:rsidR="00F04EC2" w:rsidRPr="00DD6546" w14:paraId="0D7BC844" w14:textId="77777777" w:rsidTr="00517E3D">
        <w:tc>
          <w:tcPr>
            <w:tcW w:w="1129" w:type="dxa"/>
          </w:tcPr>
          <w:p w14:paraId="5D74C854" w14:textId="77777777" w:rsidR="00F04EC2" w:rsidRPr="00DD6546" w:rsidRDefault="00F04EC2" w:rsidP="00517E3D">
            <w:pPr>
              <w:spacing w:before="120"/>
              <w:rPr>
                <w:rFonts w:cs="Arial"/>
                <w:sz w:val="16"/>
                <w:szCs w:val="16"/>
              </w:rPr>
            </w:pPr>
            <w:r w:rsidRPr="00DD6546">
              <w:rPr>
                <w:rFonts w:cs="Arial"/>
                <w:sz w:val="16"/>
                <w:szCs w:val="16"/>
              </w:rPr>
              <w:t>Client B</w:t>
            </w:r>
          </w:p>
        </w:tc>
        <w:tc>
          <w:tcPr>
            <w:tcW w:w="8222" w:type="dxa"/>
          </w:tcPr>
          <w:p w14:paraId="64362D7C" w14:textId="77777777" w:rsidR="00F04EC2" w:rsidRPr="00DD6546" w:rsidRDefault="00F04EC2" w:rsidP="00517E3D">
            <w:pPr>
              <w:spacing w:before="120"/>
              <w:rPr>
                <w:rFonts w:cs="Arial"/>
                <w:sz w:val="16"/>
                <w:szCs w:val="16"/>
              </w:rPr>
            </w:pPr>
            <w:r w:rsidRPr="00DD6546">
              <w:rPr>
                <w:rFonts w:cs="Arial"/>
                <w:b/>
                <w:sz w:val="16"/>
                <w:szCs w:val="16"/>
              </w:rPr>
              <w:t xml:space="preserve">YES. </w:t>
            </w:r>
            <w:r w:rsidRPr="00DD6546">
              <w:rPr>
                <w:rFonts w:cs="Arial"/>
                <w:sz w:val="16"/>
                <w:szCs w:val="16"/>
              </w:rPr>
              <w:t>A support period that commenced At Risk and ended within the six-month follow-up period. The second support period does not affect the client’s inclusion/exclusion from the denominator even though the second support period ends after the six-month follow-up period.</w:t>
            </w:r>
          </w:p>
        </w:tc>
      </w:tr>
      <w:tr w:rsidR="00F04EC2" w:rsidRPr="00DD6546" w14:paraId="42580C0C" w14:textId="77777777" w:rsidTr="00517E3D">
        <w:tc>
          <w:tcPr>
            <w:tcW w:w="1129" w:type="dxa"/>
          </w:tcPr>
          <w:p w14:paraId="60BE807D" w14:textId="77777777" w:rsidR="00F04EC2" w:rsidRPr="00DD6546" w:rsidRDefault="00F04EC2" w:rsidP="00517E3D">
            <w:pPr>
              <w:spacing w:before="120"/>
              <w:rPr>
                <w:rFonts w:cs="Arial"/>
                <w:sz w:val="16"/>
                <w:szCs w:val="16"/>
              </w:rPr>
            </w:pPr>
            <w:r w:rsidRPr="00DD6546">
              <w:rPr>
                <w:rFonts w:cs="Arial"/>
                <w:sz w:val="16"/>
                <w:szCs w:val="16"/>
              </w:rPr>
              <w:t>Client C</w:t>
            </w:r>
          </w:p>
        </w:tc>
        <w:tc>
          <w:tcPr>
            <w:tcW w:w="8222" w:type="dxa"/>
          </w:tcPr>
          <w:p w14:paraId="07542690" w14:textId="77777777" w:rsidR="00F04EC2" w:rsidRPr="00DD6546" w:rsidRDefault="00F04EC2" w:rsidP="00517E3D">
            <w:pPr>
              <w:spacing w:before="120"/>
              <w:rPr>
                <w:rFonts w:cs="Arial"/>
                <w:sz w:val="16"/>
                <w:szCs w:val="16"/>
              </w:rPr>
            </w:pPr>
            <w:r w:rsidRPr="00DD6546">
              <w:rPr>
                <w:rFonts w:cs="Arial"/>
                <w:b/>
                <w:sz w:val="16"/>
                <w:szCs w:val="16"/>
              </w:rPr>
              <w:t xml:space="preserve">YES. </w:t>
            </w:r>
            <w:r w:rsidRPr="00DD6546">
              <w:rPr>
                <w:rFonts w:cs="Arial"/>
                <w:sz w:val="16"/>
                <w:szCs w:val="16"/>
              </w:rPr>
              <w:t>A support period that commenced At Risk and ended within the six-month follow-up period. The various other support periods do not affect the client’s inclusion/exclusion from the denominator.</w:t>
            </w:r>
          </w:p>
        </w:tc>
      </w:tr>
      <w:tr w:rsidR="00F04EC2" w:rsidRPr="00DD6546" w14:paraId="33A8BE30" w14:textId="77777777" w:rsidTr="00517E3D">
        <w:tc>
          <w:tcPr>
            <w:tcW w:w="1129" w:type="dxa"/>
          </w:tcPr>
          <w:p w14:paraId="46D308DE" w14:textId="77777777" w:rsidR="00F04EC2" w:rsidRPr="00DD6546" w:rsidRDefault="00F04EC2" w:rsidP="00517E3D">
            <w:pPr>
              <w:spacing w:before="120"/>
              <w:rPr>
                <w:rFonts w:cs="Arial"/>
                <w:sz w:val="16"/>
                <w:szCs w:val="16"/>
              </w:rPr>
            </w:pPr>
            <w:r w:rsidRPr="00DD6546">
              <w:rPr>
                <w:rFonts w:cs="Arial"/>
                <w:sz w:val="16"/>
                <w:szCs w:val="16"/>
              </w:rPr>
              <w:t>Client D</w:t>
            </w:r>
          </w:p>
        </w:tc>
        <w:tc>
          <w:tcPr>
            <w:tcW w:w="8222" w:type="dxa"/>
          </w:tcPr>
          <w:p w14:paraId="290804B1" w14:textId="77777777" w:rsidR="00F04EC2" w:rsidRPr="00DD6546" w:rsidRDefault="00F04EC2" w:rsidP="00517E3D">
            <w:pPr>
              <w:spacing w:before="120"/>
              <w:rPr>
                <w:rFonts w:cs="Arial"/>
                <w:b/>
                <w:sz w:val="16"/>
                <w:szCs w:val="16"/>
              </w:rPr>
            </w:pPr>
            <w:r w:rsidRPr="00DD6546">
              <w:rPr>
                <w:rFonts w:cs="Arial"/>
                <w:b/>
                <w:sz w:val="16"/>
                <w:szCs w:val="16"/>
              </w:rPr>
              <w:t xml:space="preserve">YES. </w:t>
            </w:r>
            <w:r w:rsidRPr="00DD6546">
              <w:rPr>
                <w:rFonts w:cs="Arial"/>
                <w:sz w:val="16"/>
                <w:szCs w:val="16"/>
              </w:rPr>
              <w:t xml:space="preserve">An </w:t>
            </w:r>
            <w:proofErr w:type="gramStart"/>
            <w:r w:rsidRPr="00DD6546">
              <w:rPr>
                <w:rFonts w:cs="Arial"/>
                <w:sz w:val="16"/>
                <w:szCs w:val="16"/>
              </w:rPr>
              <w:t>At Risk</w:t>
            </w:r>
            <w:proofErr w:type="gramEnd"/>
            <w:r w:rsidRPr="00DD6546">
              <w:rPr>
                <w:rFonts w:cs="Arial"/>
                <w:sz w:val="16"/>
                <w:szCs w:val="16"/>
              </w:rPr>
              <w:t xml:space="preserve"> support period that commenced within the in-scope period, AND they had at least one other support period that commenced within the six-month follow up period, even though the first support period ended after the six-month follow up period. In this example, the client had two other support periods that commenced within the six-month follow up period. This illustration assumes that there is at least one housing situation recorded among the other support periods; else this client would be excluded. </w:t>
            </w:r>
          </w:p>
        </w:tc>
      </w:tr>
      <w:tr w:rsidR="00F04EC2" w:rsidRPr="00DD6546" w14:paraId="0189B4E6" w14:textId="77777777" w:rsidTr="00517E3D">
        <w:tc>
          <w:tcPr>
            <w:tcW w:w="1129" w:type="dxa"/>
          </w:tcPr>
          <w:p w14:paraId="6B9500A4" w14:textId="77777777" w:rsidR="00F04EC2" w:rsidRPr="00DD6546" w:rsidRDefault="00F04EC2" w:rsidP="00517E3D">
            <w:pPr>
              <w:spacing w:before="120"/>
              <w:rPr>
                <w:rFonts w:cs="Arial"/>
                <w:sz w:val="16"/>
                <w:szCs w:val="16"/>
              </w:rPr>
            </w:pPr>
            <w:r w:rsidRPr="00DD6546">
              <w:rPr>
                <w:rFonts w:cs="Arial"/>
                <w:sz w:val="16"/>
                <w:szCs w:val="16"/>
              </w:rPr>
              <w:t>Client E</w:t>
            </w:r>
          </w:p>
        </w:tc>
        <w:tc>
          <w:tcPr>
            <w:tcW w:w="8222" w:type="dxa"/>
          </w:tcPr>
          <w:p w14:paraId="4E467F2D" w14:textId="77777777" w:rsidR="00F04EC2" w:rsidRPr="00DD6546" w:rsidRDefault="00F04EC2" w:rsidP="00517E3D">
            <w:pPr>
              <w:spacing w:before="120"/>
              <w:rPr>
                <w:rFonts w:cs="Arial"/>
                <w:b/>
                <w:sz w:val="16"/>
                <w:szCs w:val="16"/>
              </w:rPr>
            </w:pPr>
            <w:r w:rsidRPr="00DD6546">
              <w:rPr>
                <w:rFonts w:cs="Arial"/>
                <w:b/>
                <w:sz w:val="16"/>
                <w:szCs w:val="16"/>
              </w:rPr>
              <w:t xml:space="preserve">YES. </w:t>
            </w:r>
            <w:r w:rsidRPr="00DD6546">
              <w:rPr>
                <w:rFonts w:cs="Arial"/>
                <w:sz w:val="16"/>
                <w:szCs w:val="16"/>
              </w:rPr>
              <w:t xml:space="preserve">An </w:t>
            </w:r>
            <w:proofErr w:type="gramStart"/>
            <w:r w:rsidRPr="00DD6546">
              <w:rPr>
                <w:rFonts w:cs="Arial"/>
                <w:sz w:val="16"/>
                <w:szCs w:val="16"/>
              </w:rPr>
              <w:t>At Risk</w:t>
            </w:r>
            <w:proofErr w:type="gramEnd"/>
            <w:r w:rsidRPr="00DD6546">
              <w:rPr>
                <w:rFonts w:cs="Arial"/>
                <w:sz w:val="16"/>
                <w:szCs w:val="16"/>
              </w:rPr>
              <w:t xml:space="preserve"> support period that commenced within the in-scope period AND they had at least one other support period that commenced within the six-month follow up period, even though the first support period ended after the six-month follow up period. In this example, the client had two other support periods that commenced within the six-month follow up period. The fact that these two support periods also ended after the six-month follow up period does not have an affect the client’s inclusion/exclusion from the </w:t>
            </w:r>
            <w:proofErr w:type="gramStart"/>
            <w:r w:rsidRPr="00DD6546">
              <w:rPr>
                <w:rFonts w:cs="Arial"/>
                <w:sz w:val="16"/>
                <w:szCs w:val="16"/>
              </w:rPr>
              <w:t>denominator</w:t>
            </w:r>
            <w:proofErr w:type="gramEnd"/>
            <w:r w:rsidRPr="00DD6546">
              <w:rPr>
                <w:rFonts w:cs="Arial"/>
                <w:sz w:val="16"/>
                <w:szCs w:val="16"/>
              </w:rPr>
              <w:t xml:space="preserve"> but it does assume that the housing situation was valid in one of the other two support periods, else, this client would be excluded. </w:t>
            </w:r>
          </w:p>
        </w:tc>
      </w:tr>
      <w:tr w:rsidR="00F04EC2" w:rsidRPr="00DD6546" w14:paraId="6BA11E01" w14:textId="77777777" w:rsidTr="00517E3D">
        <w:tc>
          <w:tcPr>
            <w:tcW w:w="1129" w:type="dxa"/>
          </w:tcPr>
          <w:p w14:paraId="1AED7CFA" w14:textId="77777777" w:rsidR="00F04EC2" w:rsidRPr="00DD6546" w:rsidRDefault="00F04EC2" w:rsidP="00517E3D">
            <w:pPr>
              <w:spacing w:before="120"/>
              <w:rPr>
                <w:rFonts w:cs="Arial"/>
                <w:sz w:val="16"/>
                <w:szCs w:val="16"/>
              </w:rPr>
            </w:pPr>
            <w:r w:rsidRPr="00DD6546">
              <w:rPr>
                <w:rFonts w:cs="Arial"/>
                <w:sz w:val="16"/>
                <w:szCs w:val="16"/>
              </w:rPr>
              <w:t>Client F</w:t>
            </w:r>
          </w:p>
        </w:tc>
        <w:tc>
          <w:tcPr>
            <w:tcW w:w="8222" w:type="dxa"/>
          </w:tcPr>
          <w:p w14:paraId="23E036C0" w14:textId="77777777" w:rsidR="00F04EC2" w:rsidRPr="00DD6546" w:rsidRDefault="00F04EC2" w:rsidP="00517E3D">
            <w:pPr>
              <w:spacing w:before="120"/>
              <w:rPr>
                <w:rFonts w:cs="Arial"/>
                <w:b/>
                <w:sz w:val="16"/>
                <w:szCs w:val="16"/>
              </w:rPr>
            </w:pPr>
            <w:r w:rsidRPr="00DD6546">
              <w:rPr>
                <w:rFonts w:cs="Arial"/>
                <w:b/>
                <w:sz w:val="16"/>
                <w:szCs w:val="16"/>
              </w:rPr>
              <w:t xml:space="preserve">YES. </w:t>
            </w:r>
            <w:r w:rsidRPr="00DD6546">
              <w:rPr>
                <w:rFonts w:cs="Arial"/>
                <w:sz w:val="16"/>
                <w:szCs w:val="16"/>
              </w:rPr>
              <w:t xml:space="preserve">A support period that commenced At Risk and ended within the six-month follow-up period. The other support period that commenced Homeless before the </w:t>
            </w:r>
            <w:proofErr w:type="gramStart"/>
            <w:r w:rsidRPr="00DD6546">
              <w:rPr>
                <w:rFonts w:cs="Arial"/>
                <w:sz w:val="16"/>
                <w:szCs w:val="16"/>
              </w:rPr>
              <w:t>At Risk</w:t>
            </w:r>
            <w:proofErr w:type="gramEnd"/>
            <w:r w:rsidRPr="00DD6546">
              <w:rPr>
                <w:rFonts w:cs="Arial"/>
                <w:sz w:val="16"/>
                <w:szCs w:val="16"/>
              </w:rPr>
              <w:t xml:space="preserve"> support period is not considered when assessing the client’s inclusion/exclusion from the denominator.</w:t>
            </w:r>
          </w:p>
        </w:tc>
      </w:tr>
      <w:tr w:rsidR="00F04EC2" w:rsidRPr="00DD6546" w14:paraId="11C4A9E4" w14:textId="77777777" w:rsidTr="00517E3D">
        <w:tc>
          <w:tcPr>
            <w:tcW w:w="1129" w:type="dxa"/>
          </w:tcPr>
          <w:p w14:paraId="1F09020A" w14:textId="77777777" w:rsidR="00F04EC2" w:rsidRPr="00DD6546" w:rsidRDefault="00F04EC2" w:rsidP="00517E3D">
            <w:pPr>
              <w:spacing w:before="120"/>
              <w:rPr>
                <w:rFonts w:cs="Arial"/>
                <w:sz w:val="16"/>
                <w:szCs w:val="16"/>
              </w:rPr>
            </w:pPr>
            <w:r w:rsidRPr="00DD6546">
              <w:rPr>
                <w:rFonts w:cs="Arial"/>
                <w:sz w:val="16"/>
                <w:szCs w:val="16"/>
              </w:rPr>
              <w:t>Client G</w:t>
            </w:r>
          </w:p>
        </w:tc>
        <w:tc>
          <w:tcPr>
            <w:tcW w:w="8222" w:type="dxa"/>
          </w:tcPr>
          <w:p w14:paraId="37A00AA2" w14:textId="77777777" w:rsidR="00F04EC2" w:rsidRPr="00DD6546" w:rsidRDefault="00F04EC2" w:rsidP="00517E3D">
            <w:pPr>
              <w:spacing w:before="120"/>
              <w:rPr>
                <w:rFonts w:cs="Arial"/>
                <w:b/>
                <w:sz w:val="16"/>
                <w:szCs w:val="16"/>
              </w:rPr>
            </w:pPr>
            <w:r w:rsidRPr="00DD6546">
              <w:rPr>
                <w:rFonts w:cs="Arial"/>
                <w:b/>
                <w:sz w:val="16"/>
                <w:szCs w:val="16"/>
              </w:rPr>
              <w:t xml:space="preserve">YES. </w:t>
            </w:r>
            <w:r w:rsidRPr="00DD6546">
              <w:rPr>
                <w:rFonts w:cs="Arial"/>
                <w:sz w:val="16"/>
                <w:szCs w:val="16"/>
              </w:rPr>
              <w:t xml:space="preserve">This client shares features with Client D and Client F, that is, an </w:t>
            </w:r>
            <w:proofErr w:type="gramStart"/>
            <w:r w:rsidRPr="00DD6546">
              <w:rPr>
                <w:rFonts w:cs="Arial"/>
                <w:sz w:val="16"/>
                <w:szCs w:val="16"/>
              </w:rPr>
              <w:t>At Risk</w:t>
            </w:r>
            <w:proofErr w:type="gramEnd"/>
            <w:r w:rsidRPr="00DD6546">
              <w:rPr>
                <w:rFonts w:cs="Arial"/>
                <w:sz w:val="16"/>
                <w:szCs w:val="16"/>
              </w:rPr>
              <w:t xml:space="preserve"> support period that commenced within the in-scope period AND they had at least one other support period that commenced within the six-month follow up period.  The other support period that commenced Homeless before the </w:t>
            </w:r>
            <w:proofErr w:type="gramStart"/>
            <w:r w:rsidRPr="00DD6546">
              <w:rPr>
                <w:rFonts w:cs="Arial"/>
                <w:sz w:val="16"/>
                <w:szCs w:val="16"/>
              </w:rPr>
              <w:t>At Risk</w:t>
            </w:r>
            <w:proofErr w:type="gramEnd"/>
            <w:r w:rsidRPr="00DD6546">
              <w:rPr>
                <w:rFonts w:cs="Arial"/>
                <w:sz w:val="16"/>
                <w:szCs w:val="16"/>
              </w:rPr>
              <w:t xml:space="preserve"> support period is not considered when assessing the client’s inclusion/exclusion from the denominator.</w:t>
            </w:r>
          </w:p>
        </w:tc>
      </w:tr>
      <w:tr w:rsidR="00F04EC2" w:rsidRPr="00DD6546" w14:paraId="67569DF0" w14:textId="77777777" w:rsidTr="00517E3D">
        <w:tc>
          <w:tcPr>
            <w:tcW w:w="1129" w:type="dxa"/>
          </w:tcPr>
          <w:p w14:paraId="40B65CC8" w14:textId="77777777" w:rsidR="00F04EC2" w:rsidRPr="00DD6546" w:rsidRDefault="00F04EC2" w:rsidP="00517E3D">
            <w:pPr>
              <w:spacing w:before="120"/>
              <w:rPr>
                <w:rFonts w:cs="Arial"/>
                <w:sz w:val="16"/>
                <w:szCs w:val="16"/>
              </w:rPr>
            </w:pPr>
            <w:r w:rsidRPr="00DD6546">
              <w:rPr>
                <w:rFonts w:cs="Arial"/>
                <w:sz w:val="16"/>
                <w:szCs w:val="16"/>
              </w:rPr>
              <w:t>Client H</w:t>
            </w:r>
          </w:p>
        </w:tc>
        <w:tc>
          <w:tcPr>
            <w:tcW w:w="8222" w:type="dxa"/>
          </w:tcPr>
          <w:p w14:paraId="2F122D0A" w14:textId="77777777" w:rsidR="00F04EC2" w:rsidRPr="00DD6546" w:rsidRDefault="00F04EC2" w:rsidP="00517E3D">
            <w:pPr>
              <w:spacing w:before="120"/>
              <w:rPr>
                <w:rFonts w:cs="Arial"/>
                <w:sz w:val="16"/>
                <w:szCs w:val="16"/>
              </w:rPr>
            </w:pPr>
            <w:r w:rsidRPr="00DD6546">
              <w:rPr>
                <w:rFonts w:cs="Arial"/>
                <w:b/>
                <w:sz w:val="16"/>
                <w:szCs w:val="16"/>
              </w:rPr>
              <w:t xml:space="preserve">NO. </w:t>
            </w:r>
            <w:r w:rsidRPr="00DD6546">
              <w:rPr>
                <w:rFonts w:cs="Arial"/>
                <w:sz w:val="16"/>
                <w:szCs w:val="16"/>
              </w:rPr>
              <w:t xml:space="preserve">The </w:t>
            </w:r>
            <w:proofErr w:type="gramStart"/>
            <w:r w:rsidRPr="00DD6546">
              <w:rPr>
                <w:rFonts w:cs="Arial"/>
                <w:sz w:val="16"/>
                <w:szCs w:val="16"/>
              </w:rPr>
              <w:t>At</w:t>
            </w:r>
            <w:proofErr w:type="gramEnd"/>
            <w:r w:rsidRPr="00DD6546">
              <w:rPr>
                <w:rFonts w:cs="Arial"/>
                <w:sz w:val="16"/>
                <w:szCs w:val="16"/>
              </w:rPr>
              <w:t xml:space="preserve"> Risk support period ends after the six-month follow up period. The other support period that commenced Homeless before the </w:t>
            </w:r>
            <w:proofErr w:type="gramStart"/>
            <w:r w:rsidRPr="00DD6546">
              <w:rPr>
                <w:rFonts w:cs="Arial"/>
                <w:sz w:val="16"/>
                <w:szCs w:val="16"/>
              </w:rPr>
              <w:t>At Risk</w:t>
            </w:r>
            <w:proofErr w:type="gramEnd"/>
            <w:r w:rsidRPr="00DD6546">
              <w:rPr>
                <w:rFonts w:cs="Arial"/>
                <w:sz w:val="16"/>
                <w:szCs w:val="16"/>
              </w:rPr>
              <w:t xml:space="preserve"> support period is not considered when assessing the client’s inclusion/exclusion from the denominator even though it ended during the in-scope period.</w:t>
            </w:r>
          </w:p>
        </w:tc>
      </w:tr>
    </w:tbl>
    <w:p w14:paraId="735651E4" w14:textId="77777777" w:rsidR="00EE53F2" w:rsidRDefault="00EE53F2" w:rsidP="00DD6546">
      <w:pPr>
        <w:spacing w:before="120"/>
        <w:rPr>
          <w:rFonts w:asciiTheme="minorHAnsi" w:hAnsiTheme="minorHAnsi" w:cstheme="minorHAnsi"/>
          <w:b/>
          <w:szCs w:val="20"/>
        </w:rPr>
      </w:pPr>
    </w:p>
    <w:p w14:paraId="3095DA24" w14:textId="77777777" w:rsidR="00EE53F2" w:rsidRDefault="00EE53F2" w:rsidP="00EE53F2">
      <w:pPr>
        <w:pStyle w:val="AIHWbodytext"/>
      </w:pPr>
      <w:r>
        <w:br w:type="page"/>
      </w:r>
    </w:p>
    <w:p w14:paraId="00F60111" w14:textId="45982560" w:rsidR="00F04EC2" w:rsidRPr="00D461B8" w:rsidRDefault="00F04EC2" w:rsidP="00DD6546">
      <w:pPr>
        <w:spacing w:before="120"/>
        <w:rPr>
          <w:rFonts w:asciiTheme="minorHAnsi" w:hAnsiTheme="minorHAnsi" w:cstheme="minorHAnsi"/>
          <w:b/>
          <w:szCs w:val="20"/>
        </w:rPr>
      </w:pPr>
      <w:r w:rsidRPr="00D461B8">
        <w:rPr>
          <w:rFonts w:asciiTheme="minorHAnsi" w:hAnsiTheme="minorHAnsi" w:cstheme="minorHAnsi"/>
          <w:b/>
          <w:szCs w:val="20"/>
        </w:rPr>
        <w:t xml:space="preserve">Numerator assessment </w:t>
      </w:r>
      <w:r w:rsidR="00EA40EA" w:rsidRPr="00D461B8">
        <w:rPr>
          <w:rFonts w:asciiTheme="minorHAnsi" w:hAnsiTheme="minorHAnsi" w:cstheme="minorHAnsi"/>
          <w:b/>
          <w:szCs w:val="20"/>
        </w:rPr>
        <w:t>– D</w:t>
      </w:r>
      <w:r w:rsidRPr="00D461B8">
        <w:rPr>
          <w:rFonts w:asciiTheme="minorHAnsi" w:hAnsiTheme="minorHAnsi" w:cstheme="minorHAnsi"/>
          <w:b/>
          <w:szCs w:val="20"/>
        </w:rPr>
        <w:t xml:space="preserve">iagram 3: </w:t>
      </w:r>
      <w:r w:rsidR="00EA40EA" w:rsidRPr="00D461B8">
        <w:rPr>
          <w:rFonts w:asciiTheme="minorHAnsi" w:hAnsiTheme="minorHAnsi" w:cstheme="minorHAnsi"/>
          <w:b/>
          <w:szCs w:val="20"/>
        </w:rPr>
        <w:t>Illustration</w:t>
      </w:r>
      <w:r w:rsidRPr="00D461B8">
        <w:rPr>
          <w:rFonts w:asciiTheme="minorHAnsi" w:hAnsiTheme="minorHAnsi" w:cstheme="minorHAnsi"/>
          <w:b/>
          <w:szCs w:val="20"/>
        </w:rPr>
        <w:t xml:space="preserve"> of the whether a client is included in the numerator</w:t>
      </w:r>
    </w:p>
    <w:p w14:paraId="7893ACD5" w14:textId="77777777" w:rsidR="00F04EC2" w:rsidRPr="00DD6546" w:rsidRDefault="00F04EC2" w:rsidP="00DD6546">
      <w:pPr>
        <w:pStyle w:val="AIHWbodytext"/>
        <w:rPr>
          <w:rFonts w:cs="Arial"/>
        </w:rPr>
      </w:pPr>
      <w:r w:rsidRPr="00DD6546">
        <w:rPr>
          <w:rFonts w:cs="Arial"/>
        </w:rPr>
        <w:t xml:space="preserve">The following shows which time points (2 or 4) for support periods are in-scope for assessment of the numerator. That is, an open line without label indicate that time point is out of scope. The figure does not illustrate any Not stated housing situations – all of these are out of scope for assessment of whether a client is in the numerator. There is an overall assessment (right hand side) whether the client is included or excluded from the numerator. </w:t>
      </w:r>
    </w:p>
    <w:p w14:paraId="545A6868" w14:textId="77777777" w:rsidR="00F04EC2" w:rsidRPr="003C0449" w:rsidRDefault="00F04EC2" w:rsidP="00F04EC2">
      <w:pPr>
        <w:spacing w:before="120"/>
        <w:rPr>
          <w:rFonts w:asciiTheme="minorHAnsi" w:hAnsiTheme="minorHAnsi"/>
          <w:b/>
          <w:szCs w:val="20"/>
        </w:rPr>
      </w:pPr>
      <w:r w:rsidRPr="003C0449">
        <w:rPr>
          <w:rFonts w:asciiTheme="minorHAnsi" w:hAnsiTheme="minorHAnsi"/>
          <w:b/>
          <w:noProof/>
          <w:szCs w:val="20"/>
        </w:rPr>
        <w:drawing>
          <wp:inline distT="0" distB="0" distL="0" distR="0" wp14:anchorId="6C4B9A16" wp14:editId="4A72F612">
            <wp:extent cx="5941257" cy="6276975"/>
            <wp:effectExtent l="0" t="0" r="2540" b="0"/>
            <wp:docPr id="13" name="Picture 1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10;&#10;Description automatically generated"/>
                    <pic:cNvPicPr>
                      <a:picLocks noChangeAspect="1" noChangeArrowheads="1"/>
                    </pic:cNvPicPr>
                  </pic:nvPicPr>
                  <pic:blipFill rotWithShape="1">
                    <a:blip r:embed="rId55" cstate="print">
                      <a:extLst>
                        <a:ext uri="{28A0092B-C50C-407E-A947-70E740481C1C}">
                          <a14:useLocalDpi xmlns:a14="http://schemas.microsoft.com/office/drawing/2010/main" val="0"/>
                        </a:ext>
                      </a:extLst>
                    </a:blip>
                    <a:srcRect/>
                    <a:stretch/>
                  </pic:blipFill>
                  <pic:spPr bwMode="auto">
                    <a:xfrm>
                      <a:off x="0" y="0"/>
                      <a:ext cx="5948545" cy="6284675"/>
                    </a:xfrm>
                    <a:prstGeom prst="rect">
                      <a:avLst/>
                    </a:prstGeom>
                    <a:noFill/>
                    <a:ln>
                      <a:noFill/>
                    </a:ln>
                    <a:extLst>
                      <a:ext uri="{53640926-AAD7-44D8-BBD7-CCE9431645EC}">
                        <a14:shadowObscured xmlns:a14="http://schemas.microsoft.com/office/drawing/2010/main"/>
                      </a:ext>
                    </a:extLst>
                  </pic:spPr>
                </pic:pic>
              </a:graphicData>
            </a:graphic>
          </wp:inline>
        </w:drawing>
      </w:r>
    </w:p>
    <w:p w14:paraId="140AA15F" w14:textId="77777777" w:rsidR="00EE53F2" w:rsidRPr="00D461B8" w:rsidRDefault="00EE53F2" w:rsidP="00EE53F2">
      <w:pPr>
        <w:pStyle w:val="AIHWbodytext"/>
        <w:spacing w:before="0" w:after="0"/>
        <w:rPr>
          <w:rFonts w:cs="Arial"/>
          <w:i/>
          <w:iCs/>
          <w:sz w:val="20"/>
          <w:szCs w:val="18"/>
        </w:rPr>
      </w:pPr>
      <w:r w:rsidRPr="00D461B8">
        <w:rPr>
          <w:rFonts w:cs="Arial"/>
          <w:i/>
          <w:iCs/>
          <w:sz w:val="20"/>
          <w:szCs w:val="18"/>
        </w:rPr>
        <w:t xml:space="preserve">AR = At risk. H = Homeless. </w:t>
      </w:r>
    </w:p>
    <w:p w14:paraId="76DD7B5F" w14:textId="77777777" w:rsidR="00EE53F2" w:rsidRPr="00D461B8" w:rsidRDefault="00EE53F2" w:rsidP="00EE53F2">
      <w:pPr>
        <w:pStyle w:val="AIHWbodytext"/>
        <w:spacing w:before="0" w:after="0"/>
        <w:rPr>
          <w:rFonts w:cs="Arial"/>
          <w:i/>
          <w:iCs/>
          <w:sz w:val="20"/>
          <w:szCs w:val="18"/>
        </w:rPr>
      </w:pPr>
      <w:r w:rsidRPr="00D461B8">
        <w:rPr>
          <w:rFonts w:cs="Arial"/>
          <w:i/>
          <w:iCs/>
          <w:sz w:val="20"/>
          <w:szCs w:val="18"/>
        </w:rPr>
        <w:t>Open ended lines represent any possible housing situation at that specific time point.</w:t>
      </w:r>
    </w:p>
    <w:p w14:paraId="19B853AE" w14:textId="77777777" w:rsidR="00EE53F2" w:rsidRDefault="00EE53F2" w:rsidP="00DD6546">
      <w:pPr>
        <w:pStyle w:val="AIHWbodytext"/>
        <w:rPr>
          <w:rFonts w:cs="Arial"/>
        </w:rPr>
      </w:pPr>
    </w:p>
    <w:p w14:paraId="6D426EE0" w14:textId="77777777" w:rsidR="00EE53F2" w:rsidRDefault="00EE53F2" w:rsidP="00DD6546">
      <w:pPr>
        <w:pStyle w:val="AIHWbodytext"/>
        <w:rPr>
          <w:rFonts w:cs="Arial"/>
        </w:rPr>
      </w:pPr>
    </w:p>
    <w:p w14:paraId="48430959" w14:textId="77777777" w:rsidR="00EE53F2" w:rsidRDefault="00EE53F2" w:rsidP="00DD6546">
      <w:pPr>
        <w:pStyle w:val="AIHWbodytext"/>
        <w:rPr>
          <w:rFonts w:cs="Arial"/>
        </w:rPr>
      </w:pPr>
    </w:p>
    <w:p w14:paraId="3F351ABE" w14:textId="18986AEA" w:rsidR="00F04EC2" w:rsidRPr="00DD6546" w:rsidRDefault="00F04EC2" w:rsidP="00DD6546">
      <w:pPr>
        <w:pStyle w:val="AIHWbodytext"/>
        <w:rPr>
          <w:rFonts w:cs="Arial"/>
        </w:rPr>
      </w:pPr>
      <w:r w:rsidRPr="00DD6546">
        <w:rPr>
          <w:rFonts w:cs="Arial"/>
        </w:rPr>
        <w:t xml:space="preserve">The table relates to </w:t>
      </w:r>
      <w:r w:rsidR="00EE53F2">
        <w:rPr>
          <w:rFonts w:cs="Arial"/>
        </w:rPr>
        <w:t>Diagram 3</w:t>
      </w:r>
      <w:r w:rsidRPr="00DD6546">
        <w:rPr>
          <w:rFonts w:cs="Arial"/>
        </w:rPr>
        <w:t xml:space="preserve"> above. All the clients are included in the denominator. The table lists the reason for the inclusion/exclusion of a client from the numerator.</w:t>
      </w:r>
    </w:p>
    <w:tbl>
      <w:tblPr>
        <w:tblStyle w:val="TableGrid30"/>
        <w:tblW w:w="9351" w:type="dxa"/>
        <w:tblLook w:val="04A0" w:firstRow="1" w:lastRow="0" w:firstColumn="1" w:lastColumn="0" w:noHBand="0" w:noVBand="1"/>
      </w:tblPr>
      <w:tblGrid>
        <w:gridCol w:w="1129"/>
        <w:gridCol w:w="8222"/>
      </w:tblGrid>
      <w:tr w:rsidR="00F04EC2" w:rsidRPr="00DD6546" w14:paraId="2E8BB4BE" w14:textId="77777777" w:rsidTr="00517E3D">
        <w:tc>
          <w:tcPr>
            <w:tcW w:w="1129" w:type="dxa"/>
          </w:tcPr>
          <w:p w14:paraId="734FCEE6" w14:textId="77777777" w:rsidR="00F04EC2" w:rsidRPr="00DD6546" w:rsidRDefault="00F04EC2" w:rsidP="00517E3D">
            <w:pPr>
              <w:spacing w:before="120"/>
              <w:rPr>
                <w:rFonts w:cs="Arial"/>
                <w:b/>
                <w:sz w:val="16"/>
                <w:szCs w:val="16"/>
              </w:rPr>
            </w:pPr>
            <w:r w:rsidRPr="00DD6546">
              <w:rPr>
                <w:rFonts w:cs="Arial"/>
                <w:b/>
                <w:sz w:val="16"/>
                <w:szCs w:val="16"/>
              </w:rPr>
              <w:t>Client #</w:t>
            </w:r>
          </w:p>
        </w:tc>
        <w:tc>
          <w:tcPr>
            <w:tcW w:w="8222" w:type="dxa"/>
          </w:tcPr>
          <w:p w14:paraId="57C152A0" w14:textId="77777777" w:rsidR="00F04EC2" w:rsidRPr="00DD6546" w:rsidRDefault="00F04EC2" w:rsidP="00517E3D">
            <w:pPr>
              <w:spacing w:before="120"/>
              <w:rPr>
                <w:rFonts w:cs="Arial"/>
                <w:b/>
                <w:sz w:val="16"/>
                <w:szCs w:val="16"/>
              </w:rPr>
            </w:pPr>
            <w:r w:rsidRPr="00DD6546">
              <w:rPr>
                <w:rFonts w:cs="Arial"/>
                <w:b/>
                <w:sz w:val="16"/>
                <w:szCs w:val="16"/>
              </w:rPr>
              <w:t>Inclusion/Exclusion and Reason</w:t>
            </w:r>
          </w:p>
        </w:tc>
      </w:tr>
      <w:tr w:rsidR="00F04EC2" w:rsidRPr="00DD6546" w14:paraId="03848712" w14:textId="77777777" w:rsidTr="00517E3D">
        <w:tc>
          <w:tcPr>
            <w:tcW w:w="1129" w:type="dxa"/>
          </w:tcPr>
          <w:p w14:paraId="40A1B716" w14:textId="77777777" w:rsidR="00F04EC2" w:rsidRPr="00DD6546" w:rsidRDefault="00F04EC2" w:rsidP="00517E3D">
            <w:pPr>
              <w:spacing w:before="120"/>
              <w:rPr>
                <w:rFonts w:cs="Arial"/>
                <w:sz w:val="16"/>
                <w:szCs w:val="16"/>
              </w:rPr>
            </w:pPr>
            <w:r w:rsidRPr="00DD6546">
              <w:rPr>
                <w:rFonts w:cs="Arial"/>
                <w:sz w:val="16"/>
                <w:szCs w:val="16"/>
              </w:rPr>
              <w:t>Client A</w:t>
            </w:r>
          </w:p>
        </w:tc>
        <w:tc>
          <w:tcPr>
            <w:tcW w:w="8222" w:type="dxa"/>
          </w:tcPr>
          <w:p w14:paraId="16F9AD92" w14:textId="77777777" w:rsidR="00F04EC2" w:rsidRPr="00DD6546" w:rsidRDefault="00F04EC2" w:rsidP="00517E3D">
            <w:pPr>
              <w:spacing w:before="120"/>
              <w:rPr>
                <w:rFonts w:cs="Arial"/>
                <w:sz w:val="16"/>
                <w:szCs w:val="16"/>
              </w:rPr>
            </w:pPr>
            <w:r w:rsidRPr="00DD6546">
              <w:rPr>
                <w:rFonts w:cs="Arial"/>
                <w:b/>
                <w:sz w:val="16"/>
                <w:szCs w:val="16"/>
              </w:rPr>
              <w:t xml:space="preserve">YES. </w:t>
            </w:r>
            <w:r w:rsidRPr="00DD6546">
              <w:rPr>
                <w:rFonts w:cs="Arial"/>
                <w:sz w:val="16"/>
                <w:szCs w:val="16"/>
              </w:rPr>
              <w:t xml:space="preserve">The </w:t>
            </w:r>
            <w:proofErr w:type="gramStart"/>
            <w:r w:rsidRPr="00DD6546">
              <w:rPr>
                <w:rFonts w:cs="Arial"/>
                <w:sz w:val="16"/>
                <w:szCs w:val="16"/>
              </w:rPr>
              <w:t>At Risk</w:t>
            </w:r>
            <w:proofErr w:type="gramEnd"/>
            <w:r w:rsidRPr="00DD6546">
              <w:rPr>
                <w:rFonts w:cs="Arial"/>
                <w:sz w:val="16"/>
                <w:szCs w:val="16"/>
              </w:rPr>
              <w:t xml:space="preserve"> support period ended At Risk i.e. avoided homelessness.</w:t>
            </w:r>
          </w:p>
        </w:tc>
      </w:tr>
      <w:tr w:rsidR="00F04EC2" w:rsidRPr="00DD6546" w14:paraId="35C55453" w14:textId="77777777" w:rsidTr="00517E3D">
        <w:tc>
          <w:tcPr>
            <w:tcW w:w="1129" w:type="dxa"/>
          </w:tcPr>
          <w:p w14:paraId="0E3E6687" w14:textId="77777777" w:rsidR="00F04EC2" w:rsidRPr="00DD6546" w:rsidRDefault="00F04EC2" w:rsidP="00517E3D">
            <w:pPr>
              <w:spacing w:before="120"/>
              <w:rPr>
                <w:rFonts w:cs="Arial"/>
                <w:sz w:val="16"/>
                <w:szCs w:val="16"/>
              </w:rPr>
            </w:pPr>
            <w:r w:rsidRPr="00DD6546">
              <w:rPr>
                <w:rFonts w:cs="Arial"/>
                <w:sz w:val="16"/>
                <w:szCs w:val="16"/>
              </w:rPr>
              <w:t>Client B</w:t>
            </w:r>
          </w:p>
        </w:tc>
        <w:tc>
          <w:tcPr>
            <w:tcW w:w="8222" w:type="dxa"/>
          </w:tcPr>
          <w:p w14:paraId="0AF00A3C" w14:textId="77777777" w:rsidR="00F04EC2" w:rsidRPr="00DD6546" w:rsidRDefault="00F04EC2" w:rsidP="00517E3D">
            <w:pPr>
              <w:spacing w:before="120"/>
              <w:rPr>
                <w:rFonts w:cs="Arial"/>
                <w:sz w:val="16"/>
                <w:szCs w:val="16"/>
              </w:rPr>
            </w:pPr>
            <w:r w:rsidRPr="00DD6546">
              <w:rPr>
                <w:rFonts w:cs="Arial"/>
                <w:b/>
                <w:sz w:val="16"/>
                <w:szCs w:val="16"/>
              </w:rPr>
              <w:t xml:space="preserve">NO. </w:t>
            </w:r>
            <w:r w:rsidRPr="00DD6546">
              <w:rPr>
                <w:rFonts w:cs="Arial"/>
                <w:sz w:val="16"/>
                <w:szCs w:val="16"/>
              </w:rPr>
              <w:t xml:space="preserve">The </w:t>
            </w:r>
            <w:proofErr w:type="gramStart"/>
            <w:r w:rsidRPr="00DD6546">
              <w:rPr>
                <w:rFonts w:cs="Arial"/>
                <w:sz w:val="16"/>
                <w:szCs w:val="16"/>
              </w:rPr>
              <w:t>At</w:t>
            </w:r>
            <w:proofErr w:type="gramEnd"/>
            <w:r w:rsidRPr="00DD6546">
              <w:rPr>
                <w:rFonts w:cs="Arial"/>
                <w:sz w:val="16"/>
                <w:szCs w:val="16"/>
              </w:rPr>
              <w:t xml:space="preserve"> Risk support period ended Homeless.</w:t>
            </w:r>
          </w:p>
        </w:tc>
      </w:tr>
      <w:tr w:rsidR="00F04EC2" w:rsidRPr="00DD6546" w14:paraId="24F4EEE2" w14:textId="77777777" w:rsidTr="00517E3D">
        <w:tc>
          <w:tcPr>
            <w:tcW w:w="1129" w:type="dxa"/>
          </w:tcPr>
          <w:p w14:paraId="6E40B44A" w14:textId="77777777" w:rsidR="00F04EC2" w:rsidRPr="00DD6546" w:rsidRDefault="00F04EC2" w:rsidP="00517E3D">
            <w:pPr>
              <w:spacing w:before="120"/>
              <w:rPr>
                <w:rFonts w:cs="Arial"/>
                <w:sz w:val="16"/>
                <w:szCs w:val="16"/>
              </w:rPr>
            </w:pPr>
            <w:r w:rsidRPr="00DD6546">
              <w:rPr>
                <w:rFonts w:cs="Arial"/>
                <w:sz w:val="16"/>
                <w:szCs w:val="16"/>
              </w:rPr>
              <w:t>Client C</w:t>
            </w:r>
          </w:p>
        </w:tc>
        <w:tc>
          <w:tcPr>
            <w:tcW w:w="8222" w:type="dxa"/>
          </w:tcPr>
          <w:p w14:paraId="4351674E" w14:textId="77777777" w:rsidR="00F04EC2" w:rsidRPr="00DD6546" w:rsidRDefault="00F04EC2" w:rsidP="00517E3D">
            <w:pPr>
              <w:spacing w:before="120"/>
              <w:rPr>
                <w:rFonts w:cs="Arial"/>
                <w:sz w:val="16"/>
                <w:szCs w:val="16"/>
              </w:rPr>
            </w:pPr>
            <w:r w:rsidRPr="00DD6546">
              <w:rPr>
                <w:rFonts w:cs="Arial"/>
                <w:b/>
                <w:sz w:val="16"/>
                <w:szCs w:val="16"/>
              </w:rPr>
              <w:t xml:space="preserve">YES. </w:t>
            </w:r>
            <w:r w:rsidRPr="00DD6546">
              <w:rPr>
                <w:rFonts w:cs="Arial"/>
                <w:sz w:val="16"/>
                <w:szCs w:val="16"/>
              </w:rPr>
              <w:t xml:space="preserve">Time points 2 and 4 for all support periods within the six-month follow up period were At Risk. In other words, there was not a single time point (2 or 4) for support periods as Homeless within the six-month follow up period. </w:t>
            </w:r>
          </w:p>
        </w:tc>
      </w:tr>
      <w:tr w:rsidR="00F04EC2" w:rsidRPr="00DD6546" w14:paraId="098DDC73" w14:textId="77777777" w:rsidTr="00517E3D">
        <w:tc>
          <w:tcPr>
            <w:tcW w:w="1129" w:type="dxa"/>
          </w:tcPr>
          <w:p w14:paraId="637D1BE2" w14:textId="77777777" w:rsidR="00F04EC2" w:rsidRPr="00DD6546" w:rsidRDefault="00F04EC2" w:rsidP="00517E3D">
            <w:pPr>
              <w:spacing w:before="120"/>
              <w:rPr>
                <w:rFonts w:cs="Arial"/>
                <w:sz w:val="16"/>
                <w:szCs w:val="16"/>
              </w:rPr>
            </w:pPr>
            <w:r w:rsidRPr="00DD6546">
              <w:rPr>
                <w:rFonts w:cs="Arial"/>
                <w:sz w:val="16"/>
                <w:szCs w:val="16"/>
              </w:rPr>
              <w:t>Client D</w:t>
            </w:r>
          </w:p>
        </w:tc>
        <w:tc>
          <w:tcPr>
            <w:tcW w:w="8222" w:type="dxa"/>
          </w:tcPr>
          <w:p w14:paraId="51A38764" w14:textId="77777777" w:rsidR="00F04EC2" w:rsidRPr="00DD6546" w:rsidRDefault="00F04EC2" w:rsidP="00517E3D">
            <w:pPr>
              <w:spacing w:before="120"/>
              <w:rPr>
                <w:rFonts w:cs="Arial"/>
                <w:b/>
                <w:sz w:val="16"/>
                <w:szCs w:val="16"/>
              </w:rPr>
            </w:pPr>
            <w:r w:rsidRPr="00DD6546">
              <w:rPr>
                <w:rFonts w:cs="Arial"/>
                <w:b/>
                <w:sz w:val="16"/>
                <w:szCs w:val="16"/>
              </w:rPr>
              <w:t xml:space="preserve">NO. </w:t>
            </w:r>
            <w:r w:rsidRPr="00DD6546">
              <w:rPr>
                <w:rFonts w:cs="Arial"/>
                <w:sz w:val="16"/>
                <w:szCs w:val="16"/>
              </w:rPr>
              <w:t xml:space="preserve">There is a time point 2 as Homeless within the six-month follow up period. </w:t>
            </w:r>
          </w:p>
        </w:tc>
      </w:tr>
      <w:tr w:rsidR="00F04EC2" w:rsidRPr="00DD6546" w14:paraId="28857CAB" w14:textId="77777777" w:rsidTr="00517E3D">
        <w:tc>
          <w:tcPr>
            <w:tcW w:w="1129" w:type="dxa"/>
          </w:tcPr>
          <w:p w14:paraId="224EE871" w14:textId="77777777" w:rsidR="00F04EC2" w:rsidRPr="00DD6546" w:rsidRDefault="00F04EC2" w:rsidP="00517E3D">
            <w:pPr>
              <w:spacing w:before="120"/>
              <w:rPr>
                <w:rFonts w:cs="Arial"/>
                <w:sz w:val="16"/>
                <w:szCs w:val="16"/>
              </w:rPr>
            </w:pPr>
            <w:r w:rsidRPr="00DD6546">
              <w:rPr>
                <w:rFonts w:cs="Arial"/>
                <w:sz w:val="16"/>
                <w:szCs w:val="16"/>
              </w:rPr>
              <w:t>Client E</w:t>
            </w:r>
          </w:p>
        </w:tc>
        <w:tc>
          <w:tcPr>
            <w:tcW w:w="8222" w:type="dxa"/>
          </w:tcPr>
          <w:p w14:paraId="48380786" w14:textId="77777777" w:rsidR="00F04EC2" w:rsidRPr="00DD6546" w:rsidRDefault="00F04EC2" w:rsidP="00517E3D">
            <w:pPr>
              <w:spacing w:before="120"/>
              <w:rPr>
                <w:rFonts w:cs="Arial"/>
                <w:b/>
                <w:sz w:val="16"/>
                <w:szCs w:val="16"/>
              </w:rPr>
            </w:pPr>
            <w:r w:rsidRPr="00DD6546">
              <w:rPr>
                <w:rFonts w:cs="Arial"/>
                <w:b/>
                <w:sz w:val="16"/>
                <w:szCs w:val="16"/>
              </w:rPr>
              <w:t xml:space="preserve">NO. </w:t>
            </w:r>
            <w:r w:rsidRPr="00DD6546">
              <w:rPr>
                <w:rFonts w:cs="Arial"/>
                <w:sz w:val="16"/>
                <w:szCs w:val="16"/>
              </w:rPr>
              <w:t>There is a time point 4 as Homeless within the six-month follow up period.</w:t>
            </w:r>
          </w:p>
        </w:tc>
      </w:tr>
      <w:tr w:rsidR="00F04EC2" w:rsidRPr="00DD6546" w14:paraId="56DCABB7" w14:textId="77777777" w:rsidTr="00517E3D">
        <w:tc>
          <w:tcPr>
            <w:tcW w:w="1129" w:type="dxa"/>
          </w:tcPr>
          <w:p w14:paraId="240C6F8F" w14:textId="77777777" w:rsidR="00F04EC2" w:rsidRPr="00DD6546" w:rsidRDefault="00F04EC2" w:rsidP="00517E3D">
            <w:pPr>
              <w:spacing w:before="120"/>
              <w:rPr>
                <w:rFonts w:cs="Arial"/>
                <w:sz w:val="16"/>
                <w:szCs w:val="16"/>
              </w:rPr>
            </w:pPr>
            <w:r w:rsidRPr="00DD6546">
              <w:rPr>
                <w:rFonts w:cs="Arial"/>
                <w:sz w:val="16"/>
                <w:szCs w:val="16"/>
              </w:rPr>
              <w:t>Client F</w:t>
            </w:r>
          </w:p>
        </w:tc>
        <w:tc>
          <w:tcPr>
            <w:tcW w:w="8222" w:type="dxa"/>
          </w:tcPr>
          <w:p w14:paraId="0C2086B6" w14:textId="77777777" w:rsidR="00F04EC2" w:rsidRPr="00DD6546" w:rsidRDefault="00F04EC2" w:rsidP="00517E3D">
            <w:pPr>
              <w:spacing w:before="120"/>
              <w:rPr>
                <w:rFonts w:cs="Arial"/>
                <w:b/>
                <w:sz w:val="16"/>
                <w:szCs w:val="16"/>
              </w:rPr>
            </w:pPr>
            <w:r w:rsidRPr="00DD6546">
              <w:rPr>
                <w:rFonts w:cs="Arial"/>
                <w:b/>
                <w:sz w:val="16"/>
                <w:szCs w:val="16"/>
              </w:rPr>
              <w:t xml:space="preserve">YES. </w:t>
            </w:r>
            <w:r w:rsidRPr="00DD6546">
              <w:rPr>
                <w:rFonts w:cs="Arial"/>
                <w:sz w:val="16"/>
                <w:szCs w:val="16"/>
              </w:rPr>
              <w:t xml:space="preserve">The </w:t>
            </w:r>
            <w:proofErr w:type="gramStart"/>
            <w:r w:rsidRPr="00DD6546">
              <w:rPr>
                <w:rFonts w:cs="Arial"/>
                <w:sz w:val="16"/>
                <w:szCs w:val="16"/>
              </w:rPr>
              <w:t>At Risk</w:t>
            </w:r>
            <w:proofErr w:type="gramEnd"/>
            <w:r w:rsidRPr="00DD6546">
              <w:rPr>
                <w:rFonts w:cs="Arial"/>
                <w:sz w:val="16"/>
                <w:szCs w:val="16"/>
              </w:rPr>
              <w:t xml:space="preserve"> support period ended At Risk. The other support period that commenced Homeless before the </w:t>
            </w:r>
            <w:proofErr w:type="gramStart"/>
            <w:r w:rsidRPr="00DD6546">
              <w:rPr>
                <w:rFonts w:cs="Arial"/>
                <w:sz w:val="16"/>
                <w:szCs w:val="16"/>
              </w:rPr>
              <w:t>At Risk</w:t>
            </w:r>
            <w:proofErr w:type="gramEnd"/>
            <w:r w:rsidRPr="00DD6546">
              <w:rPr>
                <w:rFonts w:cs="Arial"/>
                <w:sz w:val="16"/>
                <w:szCs w:val="16"/>
              </w:rPr>
              <w:t xml:space="preserve"> support period is not considered when assessing the client’s inclusion/exclusion in the numerator.</w:t>
            </w:r>
          </w:p>
        </w:tc>
      </w:tr>
      <w:tr w:rsidR="00F04EC2" w:rsidRPr="00DD6546" w14:paraId="63187CB8" w14:textId="77777777" w:rsidTr="00517E3D">
        <w:tc>
          <w:tcPr>
            <w:tcW w:w="1129" w:type="dxa"/>
          </w:tcPr>
          <w:p w14:paraId="6AB45CC6" w14:textId="77777777" w:rsidR="00F04EC2" w:rsidRPr="00DD6546" w:rsidRDefault="00F04EC2" w:rsidP="00517E3D">
            <w:pPr>
              <w:spacing w:before="120"/>
              <w:rPr>
                <w:rFonts w:cs="Arial"/>
                <w:sz w:val="16"/>
                <w:szCs w:val="16"/>
              </w:rPr>
            </w:pPr>
            <w:r w:rsidRPr="00DD6546">
              <w:rPr>
                <w:rFonts w:cs="Arial"/>
                <w:sz w:val="16"/>
                <w:szCs w:val="16"/>
              </w:rPr>
              <w:t>Client G</w:t>
            </w:r>
          </w:p>
        </w:tc>
        <w:tc>
          <w:tcPr>
            <w:tcW w:w="8222" w:type="dxa"/>
          </w:tcPr>
          <w:p w14:paraId="24581B35" w14:textId="77777777" w:rsidR="00F04EC2" w:rsidRPr="00DD6546" w:rsidRDefault="00F04EC2" w:rsidP="00517E3D">
            <w:pPr>
              <w:spacing w:before="120"/>
              <w:rPr>
                <w:rFonts w:cs="Arial"/>
                <w:b/>
                <w:sz w:val="16"/>
                <w:szCs w:val="16"/>
              </w:rPr>
            </w:pPr>
            <w:r w:rsidRPr="00DD6546">
              <w:rPr>
                <w:rFonts w:cs="Arial"/>
                <w:b/>
                <w:sz w:val="16"/>
                <w:szCs w:val="16"/>
              </w:rPr>
              <w:t xml:space="preserve">NO. </w:t>
            </w:r>
            <w:r w:rsidRPr="00DD6546">
              <w:rPr>
                <w:rFonts w:cs="Arial"/>
                <w:sz w:val="16"/>
                <w:szCs w:val="16"/>
              </w:rPr>
              <w:t xml:space="preserve">There is a time point 4 as Homeless within the six-month follow up period. The other support period that commenced Homeless before the </w:t>
            </w:r>
            <w:proofErr w:type="gramStart"/>
            <w:r w:rsidRPr="00DD6546">
              <w:rPr>
                <w:rFonts w:cs="Arial"/>
                <w:sz w:val="16"/>
                <w:szCs w:val="16"/>
              </w:rPr>
              <w:t>At Risk</w:t>
            </w:r>
            <w:proofErr w:type="gramEnd"/>
            <w:r w:rsidRPr="00DD6546">
              <w:rPr>
                <w:rFonts w:cs="Arial"/>
                <w:sz w:val="16"/>
                <w:szCs w:val="16"/>
              </w:rPr>
              <w:t xml:space="preserve"> support period is not considered when assessing the client’s inclusion/exclusion in the numerator.</w:t>
            </w:r>
          </w:p>
        </w:tc>
      </w:tr>
      <w:tr w:rsidR="00F04EC2" w:rsidRPr="00DD6546" w14:paraId="12F82E96" w14:textId="77777777" w:rsidTr="00517E3D">
        <w:tc>
          <w:tcPr>
            <w:tcW w:w="1129" w:type="dxa"/>
          </w:tcPr>
          <w:p w14:paraId="3D758F16" w14:textId="77777777" w:rsidR="00F04EC2" w:rsidRPr="00DD6546" w:rsidRDefault="00F04EC2" w:rsidP="00517E3D">
            <w:pPr>
              <w:spacing w:before="120"/>
              <w:rPr>
                <w:rFonts w:cs="Arial"/>
                <w:sz w:val="16"/>
                <w:szCs w:val="16"/>
              </w:rPr>
            </w:pPr>
            <w:r w:rsidRPr="00DD6546">
              <w:rPr>
                <w:rFonts w:cs="Arial"/>
                <w:sz w:val="16"/>
                <w:szCs w:val="16"/>
              </w:rPr>
              <w:t>Client H</w:t>
            </w:r>
          </w:p>
        </w:tc>
        <w:tc>
          <w:tcPr>
            <w:tcW w:w="8222" w:type="dxa"/>
          </w:tcPr>
          <w:p w14:paraId="61FF1C93" w14:textId="77777777" w:rsidR="00F04EC2" w:rsidRPr="00DD6546" w:rsidRDefault="00F04EC2" w:rsidP="00517E3D">
            <w:pPr>
              <w:spacing w:before="120"/>
              <w:rPr>
                <w:rFonts w:cs="Arial"/>
                <w:sz w:val="16"/>
                <w:szCs w:val="16"/>
              </w:rPr>
            </w:pPr>
            <w:r w:rsidRPr="00DD6546">
              <w:rPr>
                <w:rFonts w:cs="Arial"/>
                <w:b/>
                <w:sz w:val="16"/>
                <w:szCs w:val="16"/>
              </w:rPr>
              <w:t xml:space="preserve">NO. </w:t>
            </w:r>
            <w:r w:rsidRPr="00DD6546">
              <w:rPr>
                <w:rFonts w:cs="Arial"/>
                <w:sz w:val="16"/>
                <w:szCs w:val="16"/>
              </w:rPr>
              <w:t xml:space="preserve">There is a time point 2 as Homeless within the six-month follow up period. The other support period that commenced Homeless before the </w:t>
            </w:r>
            <w:proofErr w:type="gramStart"/>
            <w:r w:rsidRPr="00DD6546">
              <w:rPr>
                <w:rFonts w:cs="Arial"/>
                <w:sz w:val="16"/>
                <w:szCs w:val="16"/>
              </w:rPr>
              <w:t>At Risk</w:t>
            </w:r>
            <w:proofErr w:type="gramEnd"/>
            <w:r w:rsidRPr="00DD6546">
              <w:rPr>
                <w:rFonts w:cs="Arial"/>
                <w:sz w:val="16"/>
                <w:szCs w:val="16"/>
              </w:rPr>
              <w:t xml:space="preserve"> support period is not considered when assessing the client’s inclusion/exclusion in the numerator.</w:t>
            </w:r>
          </w:p>
        </w:tc>
      </w:tr>
    </w:tbl>
    <w:p w14:paraId="561FFBA5" w14:textId="77777777" w:rsidR="00F04EC2" w:rsidRPr="003C0449" w:rsidRDefault="00F04EC2" w:rsidP="00F04EC2">
      <w:pPr>
        <w:spacing w:before="120"/>
        <w:rPr>
          <w:rFonts w:asciiTheme="minorHAnsi" w:hAnsiTheme="minorHAnsi"/>
          <w:b/>
          <w:szCs w:val="20"/>
        </w:rPr>
      </w:pPr>
    </w:p>
    <w:p w14:paraId="2405C9E7" w14:textId="77777777" w:rsidR="00F04EC2" w:rsidRPr="003C0449" w:rsidRDefault="00F04EC2" w:rsidP="00F04EC2">
      <w:pPr>
        <w:spacing w:before="120"/>
        <w:rPr>
          <w:rFonts w:asciiTheme="minorHAnsi" w:hAnsiTheme="minorHAnsi"/>
          <w:b/>
          <w:szCs w:val="20"/>
        </w:rPr>
      </w:pPr>
    </w:p>
    <w:p w14:paraId="0D1F580C" w14:textId="77777777" w:rsidR="00F04EC2" w:rsidRPr="003C0449" w:rsidRDefault="00F04EC2" w:rsidP="00F04EC2">
      <w:pPr>
        <w:spacing w:before="120"/>
        <w:rPr>
          <w:rFonts w:asciiTheme="minorHAnsi" w:hAnsiTheme="minorHAnsi"/>
          <w:b/>
          <w:szCs w:val="20"/>
        </w:rPr>
      </w:pPr>
    </w:p>
    <w:p w14:paraId="06816F86" w14:textId="77777777" w:rsidR="00F04EC2" w:rsidRPr="003C0449" w:rsidRDefault="00F04EC2" w:rsidP="00F04EC2">
      <w:pPr>
        <w:spacing w:before="120"/>
        <w:rPr>
          <w:rFonts w:asciiTheme="minorHAnsi" w:hAnsiTheme="minorHAnsi"/>
          <w:b/>
          <w:szCs w:val="20"/>
        </w:rPr>
      </w:pPr>
    </w:p>
    <w:p w14:paraId="33ADC7C1" w14:textId="77777777" w:rsidR="00440A95" w:rsidRDefault="00440A95">
      <w:pPr>
        <w:spacing w:before="0" w:after="0" w:line="240" w:lineRule="auto"/>
        <w:rPr>
          <w:rFonts w:asciiTheme="minorHAnsi" w:hAnsiTheme="minorHAnsi" w:cstheme="minorHAnsi"/>
          <w:b/>
          <w:szCs w:val="20"/>
        </w:rPr>
      </w:pPr>
      <w:r>
        <w:rPr>
          <w:rFonts w:asciiTheme="minorHAnsi" w:hAnsiTheme="minorHAnsi" w:cstheme="minorHAnsi"/>
          <w:b/>
          <w:szCs w:val="20"/>
        </w:rPr>
        <w:br w:type="page"/>
      </w:r>
    </w:p>
    <w:p w14:paraId="2EA00CC5" w14:textId="1F836ED1" w:rsidR="00F04EC2" w:rsidRPr="003C0449" w:rsidRDefault="00440A95" w:rsidP="00F04EC2">
      <w:pPr>
        <w:keepNext/>
        <w:keepLines/>
        <w:spacing w:before="120"/>
        <w:rPr>
          <w:rFonts w:asciiTheme="minorHAnsi" w:hAnsiTheme="minorHAnsi"/>
          <w:b/>
          <w:szCs w:val="20"/>
        </w:rPr>
      </w:pPr>
      <w:r w:rsidRPr="003C0449">
        <w:rPr>
          <w:rFonts w:asciiTheme="minorHAnsi" w:hAnsiTheme="minorHAnsi"/>
          <w:b/>
          <w:noProof/>
          <w:szCs w:val="20"/>
        </w:rPr>
        <w:drawing>
          <wp:anchor distT="0" distB="0" distL="114300" distR="114300" simplePos="0" relativeHeight="251660288" behindDoc="0" locked="0" layoutInCell="1" allowOverlap="1" wp14:anchorId="1553A428" wp14:editId="4DD92C40">
            <wp:simplePos x="0" y="0"/>
            <wp:positionH relativeFrom="margin">
              <wp:align>left</wp:align>
            </wp:positionH>
            <wp:positionV relativeFrom="paragraph">
              <wp:posOffset>594995</wp:posOffset>
            </wp:positionV>
            <wp:extent cx="6274435" cy="2685415"/>
            <wp:effectExtent l="0" t="0" r="0" b="635"/>
            <wp:wrapTopAndBottom/>
            <wp:docPr id="15" name="Picture 1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art&#10;&#10;Description automatically generated"/>
                    <pic:cNvPicPr>
                      <a:picLocks noChangeAspect="1" noChangeArrowheads="1"/>
                    </pic:cNvPicPr>
                  </pic:nvPicPr>
                  <pic:blipFill rotWithShape="1">
                    <a:blip r:embed="rId56" cstate="print">
                      <a:extLst>
                        <a:ext uri="{28A0092B-C50C-407E-A947-70E740481C1C}">
                          <a14:useLocalDpi xmlns:a14="http://schemas.microsoft.com/office/drawing/2010/main" val="0"/>
                        </a:ext>
                      </a:extLst>
                    </a:blip>
                    <a:srcRect/>
                    <a:stretch/>
                  </pic:blipFill>
                  <pic:spPr bwMode="auto">
                    <a:xfrm>
                      <a:off x="0" y="0"/>
                      <a:ext cx="6274435" cy="2685415"/>
                    </a:xfrm>
                    <a:prstGeom prst="rect">
                      <a:avLst/>
                    </a:prstGeom>
                    <a:noFill/>
                    <a:ln>
                      <a:noFill/>
                    </a:ln>
                    <a:extLst>
                      <a:ext uri="{53640926-AAD7-44D8-BBD7-CCE9431645EC}">
                        <a14:shadowObscured xmlns:a14="http://schemas.microsoft.com/office/drawing/2010/main"/>
                      </a:ext>
                    </a:extLst>
                  </pic:spPr>
                </pic:pic>
              </a:graphicData>
            </a:graphic>
          </wp:anchor>
        </w:drawing>
      </w:r>
      <w:r w:rsidR="00F04EC2">
        <w:rPr>
          <w:rFonts w:asciiTheme="minorHAnsi" w:hAnsiTheme="minorHAnsi" w:cstheme="minorHAnsi"/>
          <w:b/>
          <w:szCs w:val="20"/>
        </w:rPr>
        <w:t xml:space="preserve">Diagram 4: Inclusion assessment diagram for those with </w:t>
      </w:r>
      <w:r w:rsidR="00F04EC2" w:rsidRPr="00D461B8">
        <w:rPr>
          <w:rFonts w:asciiTheme="minorHAnsi" w:hAnsiTheme="minorHAnsi" w:cstheme="minorHAnsi"/>
          <w:b/>
          <w:szCs w:val="20"/>
        </w:rPr>
        <w:t>Not stated</w:t>
      </w:r>
      <w:r w:rsidR="00F04EC2">
        <w:rPr>
          <w:rFonts w:asciiTheme="minorHAnsi" w:hAnsiTheme="minorHAnsi" w:cstheme="minorHAnsi"/>
          <w:b/>
          <w:szCs w:val="20"/>
        </w:rPr>
        <w:t xml:space="preserve"> housing situation: </w:t>
      </w:r>
      <w:r w:rsidR="00F04EC2" w:rsidRPr="00D461B8">
        <w:rPr>
          <w:rFonts w:asciiTheme="minorHAnsi" w:hAnsiTheme="minorHAnsi" w:cstheme="minorHAnsi"/>
          <w:b/>
          <w:szCs w:val="20"/>
        </w:rPr>
        <w:t>Broad overview of clients with Not stated housing situation support periods either at presentation or at the end of support</w:t>
      </w:r>
    </w:p>
    <w:p w14:paraId="2CBEADFC" w14:textId="79704D34" w:rsidR="00EE53F2" w:rsidRPr="00D461B8" w:rsidRDefault="00EE53F2" w:rsidP="00EE53F2">
      <w:pPr>
        <w:pStyle w:val="AIHWbodytext"/>
        <w:spacing w:before="0" w:after="0"/>
        <w:rPr>
          <w:rFonts w:cs="Arial"/>
          <w:i/>
          <w:iCs/>
          <w:sz w:val="20"/>
          <w:szCs w:val="18"/>
        </w:rPr>
      </w:pPr>
      <w:r w:rsidRPr="00D461B8">
        <w:rPr>
          <w:rFonts w:cs="Arial"/>
          <w:i/>
          <w:iCs/>
          <w:sz w:val="20"/>
          <w:szCs w:val="18"/>
        </w:rPr>
        <w:t xml:space="preserve">AR = At risk. H = Homeless. </w:t>
      </w:r>
      <w:r w:rsidR="00B825C3">
        <w:rPr>
          <w:rFonts w:cs="Arial"/>
          <w:i/>
          <w:iCs/>
          <w:sz w:val="20"/>
          <w:szCs w:val="18"/>
        </w:rPr>
        <w:t>NS = Not Stated.</w:t>
      </w:r>
    </w:p>
    <w:p w14:paraId="2A255951" w14:textId="06C3293C" w:rsidR="00EE53F2" w:rsidRPr="00D461B8" w:rsidRDefault="00EE53F2" w:rsidP="00EE53F2">
      <w:pPr>
        <w:pStyle w:val="AIHWbodytext"/>
        <w:spacing w:before="0" w:after="0"/>
        <w:rPr>
          <w:rFonts w:cs="Arial"/>
          <w:i/>
          <w:iCs/>
          <w:sz w:val="20"/>
          <w:szCs w:val="18"/>
        </w:rPr>
      </w:pPr>
      <w:r w:rsidRPr="00D461B8">
        <w:rPr>
          <w:rFonts w:cs="Arial"/>
          <w:i/>
          <w:iCs/>
          <w:sz w:val="20"/>
          <w:szCs w:val="18"/>
        </w:rPr>
        <w:t>Open ended lines represent any possible housing situation at that specific time point.</w:t>
      </w:r>
    </w:p>
    <w:p w14:paraId="35CA1A07" w14:textId="77777777" w:rsidR="00EE53F2" w:rsidRDefault="00EE53F2" w:rsidP="00DD6546">
      <w:pPr>
        <w:pStyle w:val="AIHWbodytext"/>
        <w:rPr>
          <w:rFonts w:cs="Arial"/>
        </w:rPr>
      </w:pPr>
    </w:p>
    <w:p w14:paraId="4D16B808" w14:textId="57296339" w:rsidR="00F04EC2" w:rsidRPr="00DD6546" w:rsidRDefault="00F04EC2" w:rsidP="00DD6546">
      <w:pPr>
        <w:pStyle w:val="AIHWbodytext"/>
        <w:rPr>
          <w:rFonts w:cs="Arial"/>
        </w:rPr>
      </w:pPr>
      <w:r w:rsidRPr="00DD6546">
        <w:rPr>
          <w:rFonts w:cs="Arial"/>
        </w:rPr>
        <w:t xml:space="preserve">The table relates to </w:t>
      </w:r>
      <w:r w:rsidR="00440A95">
        <w:rPr>
          <w:rFonts w:cs="Arial"/>
        </w:rPr>
        <w:t>Diagram 4</w:t>
      </w:r>
      <w:r w:rsidRPr="00DD6546">
        <w:rPr>
          <w:rFonts w:cs="Arial"/>
        </w:rPr>
        <w:t xml:space="preserve"> above. The table lists the reason for the inclusion/exclusion of a client from the denominator and numerator. Please note - Not stated at time points 2 or 4 are excluded from consideration in both the denominator and the numerator.</w:t>
      </w:r>
    </w:p>
    <w:tbl>
      <w:tblPr>
        <w:tblStyle w:val="TableGrid30"/>
        <w:tblW w:w="9777" w:type="dxa"/>
        <w:tblLook w:val="04A0" w:firstRow="1" w:lastRow="0" w:firstColumn="1" w:lastColumn="0" w:noHBand="0" w:noVBand="1"/>
      </w:tblPr>
      <w:tblGrid>
        <w:gridCol w:w="988"/>
        <w:gridCol w:w="8789"/>
      </w:tblGrid>
      <w:tr w:rsidR="00F04EC2" w:rsidRPr="00DD6546" w14:paraId="5C560B81" w14:textId="77777777" w:rsidTr="00517E3D">
        <w:tc>
          <w:tcPr>
            <w:tcW w:w="988" w:type="dxa"/>
          </w:tcPr>
          <w:p w14:paraId="7B9EFC45" w14:textId="77777777" w:rsidR="00F04EC2" w:rsidRPr="00DD6546" w:rsidRDefault="00F04EC2" w:rsidP="00517E3D">
            <w:pPr>
              <w:spacing w:before="120"/>
              <w:rPr>
                <w:rFonts w:cs="Arial"/>
                <w:b/>
                <w:sz w:val="16"/>
                <w:szCs w:val="16"/>
              </w:rPr>
            </w:pPr>
            <w:r w:rsidRPr="00DD6546">
              <w:rPr>
                <w:rFonts w:cs="Arial"/>
                <w:b/>
                <w:sz w:val="16"/>
                <w:szCs w:val="16"/>
              </w:rPr>
              <w:t>Client #</w:t>
            </w:r>
          </w:p>
        </w:tc>
        <w:tc>
          <w:tcPr>
            <w:tcW w:w="8789" w:type="dxa"/>
          </w:tcPr>
          <w:p w14:paraId="1D40DC74" w14:textId="54AC05DC" w:rsidR="00F04EC2" w:rsidRPr="00DD6546" w:rsidRDefault="00F04EC2" w:rsidP="00517E3D">
            <w:pPr>
              <w:spacing w:before="120"/>
              <w:rPr>
                <w:rFonts w:cs="Arial"/>
                <w:b/>
                <w:sz w:val="16"/>
                <w:szCs w:val="16"/>
              </w:rPr>
            </w:pPr>
            <w:r w:rsidRPr="00DD6546">
              <w:rPr>
                <w:rFonts w:cs="Arial"/>
                <w:b/>
                <w:sz w:val="16"/>
                <w:szCs w:val="16"/>
              </w:rPr>
              <w:t>Inclusion/</w:t>
            </w:r>
            <w:r w:rsidR="00440A95" w:rsidRPr="00DD6546">
              <w:rPr>
                <w:rFonts w:cs="Arial"/>
                <w:b/>
                <w:sz w:val="16"/>
                <w:szCs w:val="16"/>
              </w:rPr>
              <w:t>exclusion and reason</w:t>
            </w:r>
          </w:p>
        </w:tc>
      </w:tr>
      <w:tr w:rsidR="00F04EC2" w:rsidRPr="00DD6546" w14:paraId="5AE41F57" w14:textId="77777777" w:rsidTr="00517E3D">
        <w:tc>
          <w:tcPr>
            <w:tcW w:w="988" w:type="dxa"/>
          </w:tcPr>
          <w:p w14:paraId="6C044AFF" w14:textId="77777777" w:rsidR="00F04EC2" w:rsidRPr="00DD6546" w:rsidRDefault="00F04EC2" w:rsidP="00517E3D">
            <w:pPr>
              <w:spacing w:before="120"/>
              <w:rPr>
                <w:rFonts w:cs="Arial"/>
                <w:sz w:val="16"/>
                <w:szCs w:val="16"/>
              </w:rPr>
            </w:pPr>
            <w:r w:rsidRPr="00DD6546">
              <w:rPr>
                <w:rFonts w:cs="Arial"/>
                <w:sz w:val="16"/>
                <w:szCs w:val="16"/>
              </w:rPr>
              <w:t>Client A</w:t>
            </w:r>
          </w:p>
        </w:tc>
        <w:tc>
          <w:tcPr>
            <w:tcW w:w="8789" w:type="dxa"/>
          </w:tcPr>
          <w:p w14:paraId="7BBE117E" w14:textId="77777777" w:rsidR="00F04EC2" w:rsidRPr="00DD6546" w:rsidRDefault="00F04EC2" w:rsidP="00517E3D">
            <w:pPr>
              <w:spacing w:before="120"/>
              <w:rPr>
                <w:rFonts w:cs="Arial"/>
                <w:sz w:val="16"/>
                <w:szCs w:val="16"/>
              </w:rPr>
            </w:pPr>
            <w:r w:rsidRPr="00DD6546">
              <w:rPr>
                <w:rFonts w:cs="Arial"/>
                <w:b/>
                <w:sz w:val="16"/>
                <w:szCs w:val="16"/>
              </w:rPr>
              <w:t xml:space="preserve">Denominator - NO. </w:t>
            </w:r>
            <w:r w:rsidRPr="00DD6546">
              <w:rPr>
                <w:rFonts w:cs="Arial"/>
                <w:sz w:val="16"/>
                <w:szCs w:val="16"/>
              </w:rPr>
              <w:t xml:space="preserve">An </w:t>
            </w:r>
            <w:proofErr w:type="gramStart"/>
            <w:r w:rsidRPr="00DD6546">
              <w:rPr>
                <w:rFonts w:cs="Arial"/>
                <w:sz w:val="16"/>
                <w:szCs w:val="16"/>
              </w:rPr>
              <w:t>At Risk</w:t>
            </w:r>
            <w:proofErr w:type="gramEnd"/>
            <w:r w:rsidRPr="00DD6546">
              <w:rPr>
                <w:rFonts w:cs="Arial"/>
                <w:sz w:val="16"/>
                <w:szCs w:val="16"/>
              </w:rPr>
              <w:t xml:space="preserve"> support period that ended in the six-month follow up period as Not Stated. Even though the support period ended within the six-month follow up period, it was neither Homeless nor At Risk therefore the assessment is not valid.</w:t>
            </w:r>
          </w:p>
          <w:p w14:paraId="45B20E87" w14:textId="77777777" w:rsidR="00F04EC2" w:rsidRPr="00DD6546" w:rsidRDefault="00F04EC2" w:rsidP="00517E3D">
            <w:pPr>
              <w:spacing w:before="120"/>
              <w:rPr>
                <w:rFonts w:cs="Arial"/>
                <w:sz w:val="16"/>
                <w:szCs w:val="16"/>
              </w:rPr>
            </w:pPr>
            <w:r w:rsidRPr="00DD6546">
              <w:rPr>
                <w:rFonts w:cs="Arial"/>
                <w:b/>
                <w:sz w:val="16"/>
                <w:szCs w:val="16"/>
              </w:rPr>
              <w:t xml:space="preserve">Numerator – n/a. </w:t>
            </w:r>
          </w:p>
        </w:tc>
      </w:tr>
      <w:tr w:rsidR="00F04EC2" w:rsidRPr="00DD6546" w14:paraId="225D9041" w14:textId="77777777" w:rsidTr="00517E3D">
        <w:tc>
          <w:tcPr>
            <w:tcW w:w="988" w:type="dxa"/>
          </w:tcPr>
          <w:p w14:paraId="7C9345B0" w14:textId="77777777" w:rsidR="00F04EC2" w:rsidRPr="00DD6546" w:rsidRDefault="00F04EC2" w:rsidP="00517E3D">
            <w:pPr>
              <w:spacing w:before="120"/>
              <w:rPr>
                <w:rFonts w:cs="Arial"/>
                <w:sz w:val="16"/>
                <w:szCs w:val="16"/>
              </w:rPr>
            </w:pPr>
            <w:r w:rsidRPr="00DD6546">
              <w:rPr>
                <w:rFonts w:cs="Arial"/>
                <w:sz w:val="16"/>
                <w:szCs w:val="16"/>
              </w:rPr>
              <w:t>Client B</w:t>
            </w:r>
          </w:p>
        </w:tc>
        <w:tc>
          <w:tcPr>
            <w:tcW w:w="8789" w:type="dxa"/>
          </w:tcPr>
          <w:p w14:paraId="38E55F28" w14:textId="77777777" w:rsidR="00F04EC2" w:rsidRPr="00DD6546" w:rsidRDefault="00F04EC2" w:rsidP="00517E3D">
            <w:pPr>
              <w:spacing w:before="120"/>
              <w:rPr>
                <w:rFonts w:cs="Arial"/>
                <w:sz w:val="16"/>
                <w:szCs w:val="16"/>
              </w:rPr>
            </w:pPr>
            <w:r w:rsidRPr="00DD6546">
              <w:rPr>
                <w:rFonts w:cs="Arial"/>
                <w:b/>
                <w:sz w:val="16"/>
                <w:szCs w:val="16"/>
              </w:rPr>
              <w:t xml:space="preserve">Denominator - YES. </w:t>
            </w:r>
            <w:r w:rsidRPr="00DD6546">
              <w:rPr>
                <w:rFonts w:cs="Arial"/>
                <w:sz w:val="16"/>
                <w:szCs w:val="16"/>
              </w:rPr>
              <w:t xml:space="preserve">An </w:t>
            </w:r>
            <w:proofErr w:type="gramStart"/>
            <w:r w:rsidRPr="00DD6546">
              <w:rPr>
                <w:rFonts w:cs="Arial"/>
                <w:sz w:val="16"/>
                <w:szCs w:val="16"/>
              </w:rPr>
              <w:t>At Risk</w:t>
            </w:r>
            <w:proofErr w:type="gramEnd"/>
            <w:r w:rsidRPr="00DD6546">
              <w:rPr>
                <w:rFonts w:cs="Arial"/>
                <w:sz w:val="16"/>
                <w:szCs w:val="16"/>
              </w:rPr>
              <w:t xml:space="preserve"> support period AND there was at least one time point (2 or 4) of a support period where homeless status was known, that is either Homeless or At Risk. In this instance, the homeless status at time </w:t>
            </w:r>
            <w:proofErr w:type="gramStart"/>
            <w:r w:rsidRPr="00DD6546">
              <w:rPr>
                <w:rFonts w:cs="Arial"/>
                <w:sz w:val="16"/>
                <w:szCs w:val="16"/>
              </w:rPr>
              <w:t>point</w:t>
            </w:r>
            <w:proofErr w:type="gramEnd"/>
            <w:r w:rsidRPr="00DD6546">
              <w:rPr>
                <w:rFonts w:cs="Arial"/>
                <w:sz w:val="16"/>
                <w:szCs w:val="16"/>
              </w:rPr>
              <w:t xml:space="preserve"> 4 of the second support period was known.</w:t>
            </w:r>
          </w:p>
          <w:p w14:paraId="528062DD" w14:textId="77777777" w:rsidR="00F04EC2" w:rsidRPr="00DD6546" w:rsidRDefault="00F04EC2" w:rsidP="00517E3D">
            <w:pPr>
              <w:spacing w:before="120"/>
              <w:rPr>
                <w:rFonts w:cs="Arial"/>
                <w:sz w:val="16"/>
                <w:szCs w:val="16"/>
              </w:rPr>
            </w:pPr>
            <w:r w:rsidRPr="00DD6546">
              <w:rPr>
                <w:rFonts w:cs="Arial"/>
                <w:b/>
                <w:sz w:val="16"/>
                <w:szCs w:val="16"/>
              </w:rPr>
              <w:t xml:space="preserve">Numerator - YES. </w:t>
            </w:r>
            <w:r w:rsidRPr="00DD6546">
              <w:rPr>
                <w:rFonts w:cs="Arial"/>
                <w:sz w:val="16"/>
                <w:szCs w:val="16"/>
              </w:rPr>
              <w:t>All valid</w:t>
            </w:r>
            <w:r w:rsidRPr="00DD6546">
              <w:rPr>
                <w:rFonts w:cs="Arial"/>
                <w:b/>
                <w:sz w:val="16"/>
                <w:szCs w:val="16"/>
              </w:rPr>
              <w:t xml:space="preserve"> </w:t>
            </w:r>
            <w:r w:rsidRPr="00DD6546">
              <w:rPr>
                <w:rFonts w:cs="Arial"/>
                <w:sz w:val="16"/>
                <w:szCs w:val="16"/>
              </w:rPr>
              <w:t xml:space="preserve">homeless status time points were At Risk. </w:t>
            </w:r>
          </w:p>
        </w:tc>
      </w:tr>
      <w:tr w:rsidR="00F04EC2" w:rsidRPr="00DD6546" w14:paraId="02CE729A" w14:textId="77777777" w:rsidTr="00517E3D">
        <w:tc>
          <w:tcPr>
            <w:tcW w:w="988" w:type="dxa"/>
          </w:tcPr>
          <w:p w14:paraId="7A73CA87" w14:textId="77777777" w:rsidR="00F04EC2" w:rsidRPr="00DD6546" w:rsidRDefault="00F04EC2" w:rsidP="00517E3D">
            <w:pPr>
              <w:spacing w:before="120"/>
              <w:rPr>
                <w:rFonts w:cs="Arial"/>
                <w:sz w:val="16"/>
                <w:szCs w:val="16"/>
              </w:rPr>
            </w:pPr>
            <w:r w:rsidRPr="00DD6546">
              <w:rPr>
                <w:rFonts w:cs="Arial"/>
                <w:sz w:val="16"/>
                <w:szCs w:val="16"/>
              </w:rPr>
              <w:t>Client C</w:t>
            </w:r>
          </w:p>
        </w:tc>
        <w:tc>
          <w:tcPr>
            <w:tcW w:w="8789" w:type="dxa"/>
          </w:tcPr>
          <w:p w14:paraId="472D90BB" w14:textId="77777777" w:rsidR="00F04EC2" w:rsidRPr="00DD6546" w:rsidRDefault="00F04EC2" w:rsidP="00517E3D">
            <w:pPr>
              <w:spacing w:before="120"/>
              <w:rPr>
                <w:rFonts w:cs="Arial"/>
                <w:sz w:val="16"/>
                <w:szCs w:val="16"/>
              </w:rPr>
            </w:pPr>
            <w:r w:rsidRPr="00DD6546">
              <w:rPr>
                <w:rFonts w:cs="Arial"/>
                <w:b/>
                <w:sz w:val="16"/>
                <w:szCs w:val="16"/>
              </w:rPr>
              <w:t xml:space="preserve">Denominator - YES. </w:t>
            </w:r>
            <w:r w:rsidRPr="00DD6546">
              <w:rPr>
                <w:rFonts w:cs="Arial"/>
                <w:sz w:val="16"/>
                <w:szCs w:val="16"/>
              </w:rPr>
              <w:t xml:space="preserve">An </w:t>
            </w:r>
            <w:proofErr w:type="gramStart"/>
            <w:r w:rsidRPr="00DD6546">
              <w:rPr>
                <w:rFonts w:cs="Arial"/>
                <w:sz w:val="16"/>
                <w:szCs w:val="16"/>
              </w:rPr>
              <w:t>At Risk</w:t>
            </w:r>
            <w:proofErr w:type="gramEnd"/>
            <w:r w:rsidRPr="00DD6546">
              <w:rPr>
                <w:rFonts w:cs="Arial"/>
                <w:sz w:val="16"/>
                <w:szCs w:val="16"/>
              </w:rPr>
              <w:t xml:space="preserve"> support period AND there was at least one time point (2 or 4) of a support period where homeless status was known, that is either Homeless or At Risk, within the follow up period. In this instance, the homeless status at time </w:t>
            </w:r>
            <w:proofErr w:type="gramStart"/>
            <w:r w:rsidRPr="00DD6546">
              <w:rPr>
                <w:rFonts w:cs="Arial"/>
                <w:sz w:val="16"/>
                <w:szCs w:val="16"/>
              </w:rPr>
              <w:t>point</w:t>
            </w:r>
            <w:proofErr w:type="gramEnd"/>
            <w:r w:rsidRPr="00DD6546">
              <w:rPr>
                <w:rFonts w:cs="Arial"/>
                <w:sz w:val="16"/>
                <w:szCs w:val="16"/>
              </w:rPr>
              <w:t xml:space="preserve"> 2 of the second support period was known.</w:t>
            </w:r>
          </w:p>
          <w:p w14:paraId="3A164128" w14:textId="77777777" w:rsidR="00F04EC2" w:rsidRPr="00DD6546" w:rsidRDefault="00F04EC2" w:rsidP="00517E3D">
            <w:pPr>
              <w:spacing w:before="120"/>
              <w:rPr>
                <w:rFonts w:cs="Arial"/>
                <w:sz w:val="16"/>
                <w:szCs w:val="16"/>
              </w:rPr>
            </w:pPr>
            <w:r w:rsidRPr="00DD6546">
              <w:rPr>
                <w:rFonts w:cs="Arial"/>
                <w:b/>
                <w:sz w:val="16"/>
                <w:szCs w:val="16"/>
              </w:rPr>
              <w:t xml:space="preserve">Numerator - NO. </w:t>
            </w:r>
            <w:r w:rsidRPr="00DD6546">
              <w:rPr>
                <w:rFonts w:cs="Arial"/>
                <w:sz w:val="16"/>
                <w:szCs w:val="16"/>
              </w:rPr>
              <w:t xml:space="preserve">The homeless status at time </w:t>
            </w:r>
            <w:proofErr w:type="gramStart"/>
            <w:r w:rsidRPr="00DD6546">
              <w:rPr>
                <w:rFonts w:cs="Arial"/>
                <w:sz w:val="16"/>
                <w:szCs w:val="16"/>
              </w:rPr>
              <w:t>point</w:t>
            </w:r>
            <w:proofErr w:type="gramEnd"/>
            <w:r w:rsidRPr="00DD6546">
              <w:rPr>
                <w:rFonts w:cs="Arial"/>
                <w:sz w:val="16"/>
                <w:szCs w:val="16"/>
              </w:rPr>
              <w:t xml:space="preserve"> 2 of the second support period was Homeless. </w:t>
            </w:r>
          </w:p>
        </w:tc>
      </w:tr>
      <w:tr w:rsidR="00F04EC2" w:rsidRPr="00DD6546" w14:paraId="4DAEB20D" w14:textId="77777777" w:rsidTr="00517E3D">
        <w:tc>
          <w:tcPr>
            <w:tcW w:w="988" w:type="dxa"/>
          </w:tcPr>
          <w:p w14:paraId="450F33F8" w14:textId="77777777" w:rsidR="00F04EC2" w:rsidRPr="00DD6546" w:rsidRDefault="00F04EC2" w:rsidP="00517E3D">
            <w:pPr>
              <w:spacing w:before="120"/>
              <w:rPr>
                <w:rFonts w:cs="Arial"/>
                <w:sz w:val="16"/>
                <w:szCs w:val="16"/>
              </w:rPr>
            </w:pPr>
            <w:r w:rsidRPr="00DD6546">
              <w:rPr>
                <w:rFonts w:cs="Arial"/>
                <w:sz w:val="16"/>
                <w:szCs w:val="16"/>
              </w:rPr>
              <w:t>Client D</w:t>
            </w:r>
          </w:p>
        </w:tc>
        <w:tc>
          <w:tcPr>
            <w:tcW w:w="8789" w:type="dxa"/>
          </w:tcPr>
          <w:p w14:paraId="73498982" w14:textId="77777777" w:rsidR="00F04EC2" w:rsidRPr="00DD6546" w:rsidRDefault="00F04EC2" w:rsidP="00517E3D">
            <w:pPr>
              <w:spacing w:before="120"/>
              <w:rPr>
                <w:rFonts w:cs="Arial"/>
                <w:sz w:val="16"/>
                <w:szCs w:val="16"/>
              </w:rPr>
            </w:pPr>
            <w:r w:rsidRPr="00DD6546">
              <w:rPr>
                <w:rFonts w:cs="Arial"/>
                <w:b/>
                <w:sz w:val="16"/>
                <w:szCs w:val="16"/>
              </w:rPr>
              <w:t xml:space="preserve">Denominator - NO. </w:t>
            </w:r>
            <w:r w:rsidRPr="00DD6546">
              <w:rPr>
                <w:rFonts w:cs="Arial"/>
                <w:sz w:val="16"/>
                <w:szCs w:val="16"/>
              </w:rPr>
              <w:t xml:space="preserve">Homelessness status at time points (2 or 4) of all support periods within the six-month follow up period was Not Stated. </w:t>
            </w:r>
          </w:p>
          <w:p w14:paraId="672D3DF4" w14:textId="77777777" w:rsidR="00F04EC2" w:rsidRPr="00DD6546" w:rsidRDefault="00F04EC2" w:rsidP="00517E3D">
            <w:pPr>
              <w:spacing w:before="120"/>
              <w:rPr>
                <w:rFonts w:cs="Arial"/>
                <w:sz w:val="16"/>
                <w:szCs w:val="16"/>
              </w:rPr>
            </w:pPr>
            <w:r w:rsidRPr="00DD6546">
              <w:rPr>
                <w:rFonts w:cs="Arial"/>
                <w:b/>
                <w:sz w:val="16"/>
                <w:szCs w:val="16"/>
              </w:rPr>
              <w:t xml:space="preserve">Numerator – n/a. </w:t>
            </w:r>
          </w:p>
        </w:tc>
      </w:tr>
    </w:tbl>
    <w:p w14:paraId="013AFD62" w14:textId="77777777" w:rsidR="00440A95" w:rsidRDefault="00440A95" w:rsidP="00EA40EA">
      <w:pPr>
        <w:keepNext/>
        <w:spacing w:before="120"/>
        <w:rPr>
          <w:rFonts w:asciiTheme="minorHAnsi" w:hAnsiTheme="minorHAnsi" w:cstheme="minorHAnsi"/>
          <w:b/>
          <w:szCs w:val="20"/>
        </w:rPr>
      </w:pPr>
    </w:p>
    <w:p w14:paraId="4A6CDCD8" w14:textId="77777777" w:rsidR="00440A95" w:rsidRDefault="00440A95" w:rsidP="00440A95">
      <w:pPr>
        <w:pStyle w:val="AIHWbodytext"/>
      </w:pPr>
      <w:r>
        <w:br w:type="page"/>
      </w:r>
    </w:p>
    <w:p w14:paraId="66C5EAD6" w14:textId="4D61377D" w:rsidR="00F04EC2" w:rsidRPr="00D461B8" w:rsidRDefault="00F04EC2" w:rsidP="00EA40EA">
      <w:pPr>
        <w:keepNext/>
        <w:spacing w:before="120"/>
        <w:rPr>
          <w:rFonts w:asciiTheme="minorHAnsi" w:hAnsiTheme="minorHAnsi" w:cstheme="minorHAnsi"/>
          <w:b/>
          <w:szCs w:val="20"/>
        </w:rPr>
      </w:pPr>
      <w:r>
        <w:rPr>
          <w:rFonts w:asciiTheme="minorHAnsi" w:hAnsiTheme="minorHAnsi" w:cstheme="minorHAnsi"/>
          <w:b/>
          <w:szCs w:val="20"/>
        </w:rPr>
        <w:t xml:space="preserve">Diagram 5: Assessment diagram for clients with multiple support periods </w:t>
      </w:r>
      <w:r w:rsidRPr="00D461B8">
        <w:rPr>
          <w:rFonts w:asciiTheme="minorHAnsi" w:hAnsiTheme="minorHAnsi" w:cstheme="minorHAnsi"/>
          <w:b/>
          <w:szCs w:val="20"/>
        </w:rPr>
        <w:t>that commence on the same day</w:t>
      </w:r>
    </w:p>
    <w:p w14:paraId="0E6871AB" w14:textId="77777777" w:rsidR="00F04EC2" w:rsidRPr="003C0449" w:rsidRDefault="00F04EC2" w:rsidP="00F04EC2">
      <w:pPr>
        <w:spacing w:before="120"/>
        <w:rPr>
          <w:rFonts w:asciiTheme="minorHAnsi" w:hAnsiTheme="minorHAnsi"/>
          <w:b/>
          <w:szCs w:val="20"/>
        </w:rPr>
      </w:pPr>
      <w:r w:rsidRPr="003C0449">
        <w:rPr>
          <w:rFonts w:asciiTheme="minorHAnsi" w:hAnsiTheme="minorHAnsi"/>
          <w:b/>
          <w:noProof/>
          <w:szCs w:val="20"/>
        </w:rPr>
        <mc:AlternateContent>
          <mc:Choice Requires="wps">
            <w:drawing>
              <wp:anchor distT="0" distB="0" distL="114300" distR="114300" simplePos="0" relativeHeight="251659264" behindDoc="0" locked="0" layoutInCell="1" allowOverlap="1" wp14:anchorId="160B7DF9" wp14:editId="581612F4">
                <wp:simplePos x="0" y="0"/>
                <wp:positionH relativeFrom="margin">
                  <wp:posOffset>5397</wp:posOffset>
                </wp:positionH>
                <wp:positionV relativeFrom="paragraph">
                  <wp:posOffset>2382203</wp:posOffset>
                </wp:positionV>
                <wp:extent cx="246063" cy="329184"/>
                <wp:effectExtent l="0" t="0" r="0" b="0"/>
                <wp:wrapNone/>
                <wp:docPr id="7" name="Text Box 7"/>
                <wp:cNvGraphicFramePr/>
                <a:graphic xmlns:a="http://schemas.openxmlformats.org/drawingml/2006/main">
                  <a:graphicData uri="http://schemas.microsoft.com/office/word/2010/wordprocessingShape">
                    <wps:wsp>
                      <wps:cNvSpPr txBox="1"/>
                      <wps:spPr>
                        <a:xfrm rot="5400000">
                          <a:off x="0" y="0"/>
                          <a:ext cx="246063" cy="329184"/>
                        </a:xfrm>
                        <a:prstGeom prst="rect">
                          <a:avLst/>
                        </a:prstGeom>
                        <a:noFill/>
                        <a:ln w="6350">
                          <a:noFill/>
                        </a:ln>
                      </wps:spPr>
                      <wps:txbx>
                        <w:txbxContent>
                          <w:p w14:paraId="580C306D" w14:textId="77777777" w:rsidR="00F04EC2" w:rsidRPr="000C32D9" w:rsidRDefault="00F04EC2" w:rsidP="00F04EC2">
                            <w:pPr>
                              <w:rPr>
                                <w:rFonts w:cs="Arial"/>
                                <w:b/>
                                <w:color w:val="FF0000"/>
                                <w:sz w:val="18"/>
                              </w:rPr>
                            </w:pPr>
                            <w:r w:rsidRPr="000C32D9">
                              <w:rPr>
                                <w:rFonts w:cs="Arial"/>
                                <w:b/>
                                <w:color w:val="FF0000"/>
                                <w:sz w:val="18"/>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0B7DF9" id="_x0000_t202" coordsize="21600,21600" o:spt="202" path="m,l,21600r21600,l21600,xe">
                <v:stroke joinstyle="miter"/>
                <v:path gradientshapeok="t" o:connecttype="rect"/>
              </v:shapetype>
              <v:shape id="Text Box 7" o:spid="_x0000_s1026" type="#_x0000_t202" style="position:absolute;margin-left:.4pt;margin-top:187.6pt;width:19.4pt;height:25.9pt;rotation:9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" filled="f" stroked="f" strokeweight=".5pt">
                <v:textbox>
                  <w:txbxContent>
                    <w:p w14:paraId="580C306D" w14:textId="77777777" w:rsidR="00F04EC2" w:rsidRPr="000C32D9" w:rsidRDefault="00F04EC2" w:rsidP="00F04EC2">
                      <w:pPr>
                        <w:rPr>
                          <w:rFonts w:cs="Arial"/>
                          <w:b/>
                          <w:color w:val="FF0000"/>
                          <w:sz w:val="18"/>
                        </w:rPr>
                      </w:pPr>
                      <w:r w:rsidRPr="000C32D9">
                        <w:rPr>
                          <w:rFonts w:cs="Arial"/>
                          <w:b/>
                          <w:color w:val="FF0000"/>
                          <w:sz w:val="18"/>
                        </w:rPr>
                        <w:t>X</w:t>
                      </w:r>
                    </w:p>
                  </w:txbxContent>
                </v:textbox>
                <w10:wrap anchorx="margin"/>
              </v:shape>
            </w:pict>
          </mc:Fallback>
        </mc:AlternateContent>
      </w:r>
      <w:r>
        <w:rPr>
          <w:rFonts w:asciiTheme="minorHAnsi" w:hAnsiTheme="minorHAnsi"/>
          <w:b/>
          <w:noProof/>
          <w:szCs w:val="20"/>
        </w:rPr>
        <w:drawing>
          <wp:inline distT="0" distB="0" distL="0" distR="0" wp14:anchorId="788BA26E" wp14:editId="7E48FD5B">
            <wp:extent cx="6381246" cy="2409825"/>
            <wp:effectExtent l="0" t="0" r="635" b="0"/>
            <wp:docPr id="17" name="Picture 17"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chart&#10;&#10;Description automatically generated"/>
                    <pic:cNvPicPr>
                      <a:picLocks noChangeAspect="1" noChangeArrowheads="1"/>
                    </pic:cNvPicPr>
                  </pic:nvPicPr>
                  <pic:blipFill rotWithShape="1">
                    <a:blip r:embed="rId57" cstate="print">
                      <a:extLst>
                        <a:ext uri="{28A0092B-C50C-407E-A947-70E740481C1C}">
                          <a14:useLocalDpi xmlns:a14="http://schemas.microsoft.com/office/drawing/2010/main" val="0"/>
                        </a:ext>
                      </a:extLst>
                    </a:blip>
                    <a:srcRect l="4010" t="-3485" b="5475"/>
                    <a:stretch/>
                  </pic:blipFill>
                  <pic:spPr bwMode="auto">
                    <a:xfrm>
                      <a:off x="0" y="0"/>
                      <a:ext cx="6392045" cy="2413903"/>
                    </a:xfrm>
                    <a:prstGeom prst="rect">
                      <a:avLst/>
                    </a:prstGeom>
                    <a:noFill/>
                    <a:ln>
                      <a:noFill/>
                    </a:ln>
                    <a:extLst>
                      <a:ext uri="{53640926-AAD7-44D8-BBD7-CCE9431645EC}">
                        <a14:shadowObscured xmlns:a14="http://schemas.microsoft.com/office/drawing/2010/main"/>
                      </a:ext>
                    </a:extLst>
                  </pic:spPr>
                </pic:pic>
              </a:graphicData>
            </a:graphic>
          </wp:inline>
        </w:drawing>
      </w:r>
    </w:p>
    <w:p w14:paraId="57DD73B4" w14:textId="15119772" w:rsidR="00F04EC2" w:rsidRPr="00440A95" w:rsidRDefault="00F04EC2" w:rsidP="00440A95">
      <w:pPr>
        <w:spacing w:before="120"/>
        <w:ind w:left="284" w:hanging="284"/>
        <w:rPr>
          <w:rFonts w:cs="Arial"/>
          <w:i/>
          <w:iCs/>
          <w:sz w:val="20"/>
          <w:szCs w:val="20"/>
          <w:lang w:eastAsia="en-US"/>
        </w:rPr>
      </w:pPr>
      <w:r w:rsidRPr="00440A95">
        <w:rPr>
          <w:rFonts w:cs="Arial"/>
          <w:i/>
          <w:iCs/>
          <w:sz w:val="20"/>
          <w:szCs w:val="20"/>
        </w:rPr>
        <w:t xml:space="preserve">      Indicates the second (or multiple) support periods commencing on the same day with homeless status at risk are not included in derivation of the numerator.</w:t>
      </w:r>
    </w:p>
    <w:p w14:paraId="644E304E" w14:textId="77777777" w:rsidR="00B825C3" w:rsidRDefault="00B825C3" w:rsidP="00DD6546">
      <w:pPr>
        <w:pStyle w:val="AIHWbodytext"/>
        <w:rPr>
          <w:rFonts w:cs="Arial"/>
        </w:rPr>
      </w:pPr>
    </w:p>
    <w:p w14:paraId="65AC9E46" w14:textId="650AA44E" w:rsidR="00F04EC2" w:rsidRPr="00DD6546" w:rsidRDefault="00F04EC2" w:rsidP="00DD6546">
      <w:pPr>
        <w:pStyle w:val="AIHWbodytext"/>
        <w:rPr>
          <w:rFonts w:cs="Arial"/>
        </w:rPr>
      </w:pPr>
      <w:r w:rsidRPr="00DD6546">
        <w:rPr>
          <w:rFonts w:cs="Arial"/>
        </w:rPr>
        <w:t xml:space="preserve">The table relates to </w:t>
      </w:r>
      <w:r w:rsidR="00440A95">
        <w:rPr>
          <w:rFonts w:cs="Arial"/>
        </w:rPr>
        <w:t>Diagram 5</w:t>
      </w:r>
      <w:r w:rsidRPr="00DD6546">
        <w:rPr>
          <w:rFonts w:cs="Arial"/>
        </w:rPr>
        <w:t xml:space="preserve"> above. The table lists the reason for the inclusion/exclusion of a client from the denominator and numerator.</w:t>
      </w:r>
    </w:p>
    <w:tbl>
      <w:tblPr>
        <w:tblStyle w:val="TableGrid30"/>
        <w:tblW w:w="9351" w:type="dxa"/>
        <w:tblLook w:val="04A0" w:firstRow="1" w:lastRow="0" w:firstColumn="1" w:lastColumn="0" w:noHBand="0" w:noVBand="1"/>
      </w:tblPr>
      <w:tblGrid>
        <w:gridCol w:w="1129"/>
        <w:gridCol w:w="8222"/>
      </w:tblGrid>
      <w:tr w:rsidR="00F04EC2" w:rsidRPr="00DD6546" w14:paraId="3FC441B4" w14:textId="77777777" w:rsidTr="00517E3D">
        <w:tc>
          <w:tcPr>
            <w:tcW w:w="1129" w:type="dxa"/>
          </w:tcPr>
          <w:p w14:paraId="2A40D420" w14:textId="77777777" w:rsidR="00F04EC2" w:rsidRPr="00DD6546" w:rsidRDefault="00F04EC2" w:rsidP="00517E3D">
            <w:pPr>
              <w:spacing w:before="120"/>
              <w:rPr>
                <w:rFonts w:cs="Arial"/>
                <w:b/>
                <w:sz w:val="16"/>
                <w:szCs w:val="16"/>
              </w:rPr>
            </w:pPr>
            <w:r w:rsidRPr="00DD6546">
              <w:rPr>
                <w:rFonts w:cs="Arial"/>
                <w:b/>
                <w:sz w:val="16"/>
                <w:szCs w:val="16"/>
              </w:rPr>
              <w:t>Client #</w:t>
            </w:r>
          </w:p>
        </w:tc>
        <w:tc>
          <w:tcPr>
            <w:tcW w:w="8222" w:type="dxa"/>
          </w:tcPr>
          <w:p w14:paraId="14168A4C" w14:textId="1E93D5CD" w:rsidR="00F04EC2" w:rsidRPr="00DD6546" w:rsidRDefault="00F04EC2" w:rsidP="00517E3D">
            <w:pPr>
              <w:spacing w:before="120"/>
              <w:rPr>
                <w:rFonts w:cs="Arial"/>
                <w:b/>
                <w:sz w:val="16"/>
                <w:szCs w:val="16"/>
              </w:rPr>
            </w:pPr>
            <w:r w:rsidRPr="00DD6546">
              <w:rPr>
                <w:rFonts w:cs="Arial"/>
                <w:b/>
                <w:sz w:val="16"/>
                <w:szCs w:val="16"/>
              </w:rPr>
              <w:t>Inclusion/</w:t>
            </w:r>
            <w:r w:rsidR="00440A95" w:rsidRPr="00DD6546">
              <w:rPr>
                <w:rFonts w:cs="Arial"/>
                <w:b/>
                <w:sz w:val="16"/>
                <w:szCs w:val="16"/>
              </w:rPr>
              <w:t>exclusion and reason</w:t>
            </w:r>
          </w:p>
        </w:tc>
      </w:tr>
      <w:tr w:rsidR="00F04EC2" w:rsidRPr="00DD6546" w14:paraId="68D504C3" w14:textId="77777777" w:rsidTr="00517E3D">
        <w:tc>
          <w:tcPr>
            <w:tcW w:w="1129" w:type="dxa"/>
          </w:tcPr>
          <w:p w14:paraId="671963CA" w14:textId="77777777" w:rsidR="00F04EC2" w:rsidRPr="00DD6546" w:rsidRDefault="00F04EC2" w:rsidP="00517E3D">
            <w:pPr>
              <w:spacing w:before="120"/>
              <w:rPr>
                <w:rFonts w:cs="Arial"/>
                <w:sz w:val="16"/>
                <w:szCs w:val="16"/>
              </w:rPr>
            </w:pPr>
            <w:r w:rsidRPr="00DD6546">
              <w:rPr>
                <w:rFonts w:cs="Arial"/>
                <w:sz w:val="16"/>
                <w:szCs w:val="16"/>
              </w:rPr>
              <w:t>Client A</w:t>
            </w:r>
          </w:p>
        </w:tc>
        <w:tc>
          <w:tcPr>
            <w:tcW w:w="8222" w:type="dxa"/>
          </w:tcPr>
          <w:p w14:paraId="54162E93" w14:textId="77777777" w:rsidR="00F04EC2" w:rsidRPr="00DD6546" w:rsidRDefault="00F04EC2" w:rsidP="00517E3D">
            <w:pPr>
              <w:spacing w:before="120"/>
              <w:rPr>
                <w:rFonts w:cs="Arial"/>
                <w:sz w:val="16"/>
                <w:szCs w:val="16"/>
              </w:rPr>
            </w:pPr>
            <w:r w:rsidRPr="00DD6546">
              <w:rPr>
                <w:rFonts w:cs="Arial"/>
                <w:b/>
                <w:sz w:val="16"/>
                <w:szCs w:val="16"/>
              </w:rPr>
              <w:t xml:space="preserve">Denominator - YES. </w:t>
            </w:r>
            <w:r w:rsidRPr="00DD6546">
              <w:rPr>
                <w:rFonts w:cs="Arial"/>
                <w:sz w:val="16"/>
                <w:szCs w:val="16"/>
              </w:rPr>
              <w:t xml:space="preserve">The client had an </w:t>
            </w:r>
            <w:proofErr w:type="gramStart"/>
            <w:r w:rsidRPr="00DD6546">
              <w:rPr>
                <w:rFonts w:cs="Arial"/>
                <w:sz w:val="16"/>
                <w:szCs w:val="16"/>
              </w:rPr>
              <w:t>At Risk</w:t>
            </w:r>
            <w:proofErr w:type="gramEnd"/>
            <w:r w:rsidRPr="00DD6546">
              <w:rPr>
                <w:rFonts w:cs="Arial"/>
                <w:sz w:val="16"/>
                <w:szCs w:val="16"/>
              </w:rPr>
              <w:t xml:space="preserve"> support period that ended in the six-month follow up period. </w:t>
            </w:r>
          </w:p>
          <w:p w14:paraId="72059058" w14:textId="77777777" w:rsidR="00F04EC2" w:rsidRPr="00DD6546" w:rsidRDefault="00F04EC2" w:rsidP="00517E3D">
            <w:pPr>
              <w:spacing w:before="120"/>
              <w:rPr>
                <w:rFonts w:cs="Arial"/>
                <w:sz w:val="16"/>
                <w:szCs w:val="16"/>
              </w:rPr>
            </w:pPr>
            <w:r w:rsidRPr="00DD6546">
              <w:rPr>
                <w:rFonts w:cs="Arial"/>
                <w:b/>
                <w:sz w:val="16"/>
                <w:szCs w:val="16"/>
              </w:rPr>
              <w:t xml:space="preserve">Numerator - YES. </w:t>
            </w:r>
            <w:r w:rsidRPr="00DD6546">
              <w:rPr>
                <w:rFonts w:cs="Arial"/>
                <w:sz w:val="16"/>
                <w:szCs w:val="16"/>
              </w:rPr>
              <w:t xml:space="preserve">None of the time points (2 or 4) were Homeless for any support period within the six-month follow up period. </w:t>
            </w:r>
          </w:p>
          <w:p w14:paraId="5A7F8318" w14:textId="77777777" w:rsidR="00F04EC2" w:rsidRPr="00DD6546" w:rsidRDefault="00F04EC2" w:rsidP="00517E3D">
            <w:pPr>
              <w:spacing w:before="120"/>
              <w:rPr>
                <w:rFonts w:cs="Arial"/>
                <w:sz w:val="16"/>
                <w:szCs w:val="16"/>
              </w:rPr>
            </w:pPr>
            <w:r w:rsidRPr="00DD6546">
              <w:rPr>
                <w:rFonts w:cs="Arial"/>
                <w:sz w:val="16"/>
                <w:szCs w:val="16"/>
              </w:rPr>
              <w:t xml:space="preserve">Please note that the </w:t>
            </w:r>
            <w:proofErr w:type="gramStart"/>
            <w:r w:rsidRPr="00DD6546">
              <w:rPr>
                <w:rFonts w:cs="Arial"/>
                <w:sz w:val="16"/>
                <w:szCs w:val="16"/>
              </w:rPr>
              <w:t>At Risk</w:t>
            </w:r>
            <w:proofErr w:type="gramEnd"/>
            <w:r w:rsidRPr="00DD6546">
              <w:rPr>
                <w:rFonts w:cs="Arial"/>
                <w:sz w:val="16"/>
                <w:szCs w:val="16"/>
              </w:rPr>
              <w:t xml:space="preserve"> status at time point 2 of the second support period is not included in the derivation of the numerator.</w:t>
            </w:r>
          </w:p>
        </w:tc>
      </w:tr>
      <w:tr w:rsidR="00F04EC2" w:rsidRPr="00DD6546" w14:paraId="123C1862" w14:textId="77777777" w:rsidTr="00517E3D">
        <w:tc>
          <w:tcPr>
            <w:tcW w:w="1129" w:type="dxa"/>
          </w:tcPr>
          <w:p w14:paraId="4F248CE6" w14:textId="77777777" w:rsidR="00F04EC2" w:rsidRPr="00DD6546" w:rsidRDefault="00F04EC2" w:rsidP="00517E3D">
            <w:pPr>
              <w:spacing w:before="120"/>
              <w:rPr>
                <w:rFonts w:cs="Arial"/>
                <w:sz w:val="16"/>
                <w:szCs w:val="16"/>
              </w:rPr>
            </w:pPr>
            <w:r w:rsidRPr="00DD6546">
              <w:rPr>
                <w:rFonts w:cs="Arial"/>
                <w:sz w:val="16"/>
                <w:szCs w:val="16"/>
              </w:rPr>
              <w:t>Client B</w:t>
            </w:r>
          </w:p>
        </w:tc>
        <w:tc>
          <w:tcPr>
            <w:tcW w:w="8222" w:type="dxa"/>
          </w:tcPr>
          <w:p w14:paraId="483E2826" w14:textId="77777777" w:rsidR="00F04EC2" w:rsidRPr="00DD6546" w:rsidRDefault="00F04EC2" w:rsidP="00517E3D">
            <w:pPr>
              <w:spacing w:before="120"/>
              <w:rPr>
                <w:rFonts w:cs="Arial"/>
                <w:sz w:val="16"/>
                <w:szCs w:val="16"/>
              </w:rPr>
            </w:pPr>
            <w:r w:rsidRPr="00DD6546">
              <w:rPr>
                <w:rFonts w:cs="Arial"/>
                <w:b/>
                <w:sz w:val="16"/>
                <w:szCs w:val="16"/>
              </w:rPr>
              <w:t xml:space="preserve">Denominator - YES. </w:t>
            </w:r>
            <w:r w:rsidRPr="00DD6546">
              <w:rPr>
                <w:rFonts w:cs="Arial"/>
                <w:sz w:val="16"/>
                <w:szCs w:val="16"/>
              </w:rPr>
              <w:t xml:space="preserve">The client had an </w:t>
            </w:r>
            <w:proofErr w:type="gramStart"/>
            <w:r w:rsidRPr="00DD6546">
              <w:rPr>
                <w:rFonts w:cs="Arial"/>
                <w:sz w:val="16"/>
                <w:szCs w:val="16"/>
              </w:rPr>
              <w:t>At Risk</w:t>
            </w:r>
            <w:proofErr w:type="gramEnd"/>
            <w:r w:rsidRPr="00DD6546">
              <w:rPr>
                <w:rFonts w:cs="Arial"/>
                <w:sz w:val="16"/>
                <w:szCs w:val="16"/>
              </w:rPr>
              <w:t xml:space="preserve"> support period that ended in the six-month follow up period. </w:t>
            </w:r>
          </w:p>
          <w:p w14:paraId="1397166B" w14:textId="77777777" w:rsidR="00F04EC2" w:rsidRPr="00DD6546" w:rsidRDefault="00F04EC2" w:rsidP="00517E3D">
            <w:pPr>
              <w:spacing w:before="120"/>
              <w:rPr>
                <w:rFonts w:cs="Arial"/>
                <w:sz w:val="16"/>
                <w:szCs w:val="16"/>
              </w:rPr>
            </w:pPr>
            <w:r w:rsidRPr="00DD6546">
              <w:rPr>
                <w:rFonts w:cs="Arial"/>
                <w:b/>
                <w:sz w:val="16"/>
                <w:szCs w:val="16"/>
              </w:rPr>
              <w:t xml:space="preserve">Numerator - NO. </w:t>
            </w:r>
            <w:r w:rsidRPr="00DD6546">
              <w:rPr>
                <w:rFonts w:cs="Arial"/>
                <w:sz w:val="16"/>
                <w:szCs w:val="16"/>
              </w:rPr>
              <w:t xml:space="preserve">The homeless status at time </w:t>
            </w:r>
            <w:proofErr w:type="gramStart"/>
            <w:r w:rsidRPr="00DD6546">
              <w:rPr>
                <w:rFonts w:cs="Arial"/>
                <w:sz w:val="16"/>
                <w:szCs w:val="16"/>
              </w:rPr>
              <w:t>point</w:t>
            </w:r>
            <w:proofErr w:type="gramEnd"/>
            <w:r w:rsidRPr="00DD6546">
              <w:rPr>
                <w:rFonts w:cs="Arial"/>
                <w:sz w:val="16"/>
                <w:szCs w:val="16"/>
              </w:rPr>
              <w:t xml:space="preserve"> 4 of the second support period was Homeless.</w:t>
            </w:r>
          </w:p>
          <w:p w14:paraId="2643CDD5" w14:textId="77777777" w:rsidR="00F04EC2" w:rsidRPr="00DD6546" w:rsidRDefault="00F04EC2" w:rsidP="00517E3D">
            <w:pPr>
              <w:spacing w:before="120"/>
              <w:rPr>
                <w:rFonts w:cs="Arial"/>
                <w:b/>
                <w:sz w:val="16"/>
                <w:szCs w:val="16"/>
              </w:rPr>
            </w:pPr>
            <w:r w:rsidRPr="00DD6546">
              <w:rPr>
                <w:rFonts w:cs="Arial"/>
                <w:sz w:val="16"/>
                <w:szCs w:val="16"/>
              </w:rPr>
              <w:t xml:space="preserve">Please note that the </w:t>
            </w:r>
            <w:proofErr w:type="gramStart"/>
            <w:r w:rsidRPr="00DD6546">
              <w:rPr>
                <w:rFonts w:cs="Arial"/>
                <w:sz w:val="16"/>
                <w:szCs w:val="16"/>
              </w:rPr>
              <w:t>At Risk</w:t>
            </w:r>
            <w:proofErr w:type="gramEnd"/>
            <w:r w:rsidRPr="00DD6546">
              <w:rPr>
                <w:rFonts w:cs="Arial"/>
                <w:sz w:val="16"/>
                <w:szCs w:val="16"/>
              </w:rPr>
              <w:t xml:space="preserve"> status at time point 2 of the second support period is not included in the derivation of the numerator.</w:t>
            </w:r>
          </w:p>
        </w:tc>
      </w:tr>
      <w:tr w:rsidR="00F04EC2" w:rsidRPr="00DD6546" w14:paraId="5042C913" w14:textId="77777777" w:rsidTr="00517E3D">
        <w:tc>
          <w:tcPr>
            <w:tcW w:w="1129" w:type="dxa"/>
          </w:tcPr>
          <w:p w14:paraId="26801D54" w14:textId="77777777" w:rsidR="00F04EC2" w:rsidRPr="00DD6546" w:rsidRDefault="00F04EC2" w:rsidP="00517E3D">
            <w:pPr>
              <w:spacing w:before="120"/>
              <w:rPr>
                <w:rFonts w:cs="Arial"/>
                <w:sz w:val="16"/>
                <w:szCs w:val="16"/>
              </w:rPr>
            </w:pPr>
            <w:r w:rsidRPr="00DD6546">
              <w:rPr>
                <w:rFonts w:cs="Arial"/>
                <w:sz w:val="16"/>
                <w:szCs w:val="16"/>
              </w:rPr>
              <w:t>Client C</w:t>
            </w:r>
          </w:p>
        </w:tc>
        <w:tc>
          <w:tcPr>
            <w:tcW w:w="8222" w:type="dxa"/>
          </w:tcPr>
          <w:p w14:paraId="1BF1DC0F" w14:textId="77777777" w:rsidR="00F04EC2" w:rsidRPr="00DD6546" w:rsidRDefault="00F04EC2" w:rsidP="00517E3D">
            <w:pPr>
              <w:spacing w:before="120"/>
              <w:rPr>
                <w:rFonts w:cs="Arial"/>
                <w:sz w:val="16"/>
                <w:szCs w:val="16"/>
              </w:rPr>
            </w:pPr>
            <w:r w:rsidRPr="00DD6546">
              <w:rPr>
                <w:rFonts w:cs="Arial"/>
                <w:b/>
                <w:sz w:val="16"/>
                <w:szCs w:val="16"/>
              </w:rPr>
              <w:t xml:space="preserve">Denominator - NO. </w:t>
            </w:r>
            <w:r w:rsidRPr="00DD6546">
              <w:rPr>
                <w:rFonts w:cs="Arial"/>
                <w:sz w:val="16"/>
                <w:szCs w:val="16"/>
              </w:rPr>
              <w:t xml:space="preserve">Although the client had an </w:t>
            </w:r>
            <w:proofErr w:type="gramStart"/>
            <w:r w:rsidRPr="00DD6546">
              <w:rPr>
                <w:rFonts w:cs="Arial"/>
                <w:sz w:val="16"/>
                <w:szCs w:val="16"/>
              </w:rPr>
              <w:t>At Risk</w:t>
            </w:r>
            <w:proofErr w:type="gramEnd"/>
            <w:r w:rsidRPr="00DD6546">
              <w:rPr>
                <w:rFonts w:cs="Arial"/>
                <w:sz w:val="16"/>
                <w:szCs w:val="16"/>
              </w:rPr>
              <w:t xml:space="preserve"> support period that ended in the six-month follow up period, they also had another support period commencing on the same day as Homeless. In this instance, the true homeless status at commencement is ambiguous and hence is excluded from the denominator. </w:t>
            </w:r>
          </w:p>
          <w:p w14:paraId="2893FC4C" w14:textId="77777777" w:rsidR="00F04EC2" w:rsidRPr="00DD6546" w:rsidRDefault="00F04EC2" w:rsidP="00517E3D">
            <w:pPr>
              <w:spacing w:before="120"/>
              <w:rPr>
                <w:rFonts w:cs="Arial"/>
                <w:sz w:val="16"/>
                <w:szCs w:val="16"/>
              </w:rPr>
            </w:pPr>
            <w:r w:rsidRPr="00DD6546">
              <w:rPr>
                <w:rFonts w:cs="Arial"/>
                <w:b/>
                <w:sz w:val="16"/>
                <w:szCs w:val="16"/>
              </w:rPr>
              <w:t>Numerator – n/a.</w:t>
            </w:r>
          </w:p>
        </w:tc>
      </w:tr>
    </w:tbl>
    <w:p w14:paraId="32251EB4" w14:textId="77777777" w:rsidR="0059714D" w:rsidRDefault="0059714D" w:rsidP="00F04EC2">
      <w:pPr>
        <w:pStyle w:val="AIHWbodytext"/>
        <w:spacing w:before="120"/>
        <w:rPr>
          <w:rFonts w:asciiTheme="minorHAnsi" w:hAnsiTheme="minorHAnsi" w:cstheme="minorHAnsi"/>
        </w:rPr>
        <w:sectPr w:rsidR="0059714D" w:rsidSect="0059714D">
          <w:headerReference w:type="first" r:id="rId58"/>
          <w:footerReference w:type="first" r:id="rId59"/>
          <w:pgSz w:w="11906" w:h="16838" w:code="9"/>
          <w:pgMar w:top="1418" w:right="1418" w:bottom="1134" w:left="1418" w:header="964" w:footer="0" w:gutter="0"/>
          <w:cols w:space="708"/>
          <w:titlePg/>
          <w:docGrid w:linePitch="360"/>
        </w:sectPr>
      </w:pPr>
    </w:p>
    <w:p w14:paraId="188716A5" w14:textId="725657C2" w:rsidR="00922558" w:rsidRPr="0059714D" w:rsidRDefault="00922558" w:rsidP="0059714D">
      <w:pPr>
        <w:pStyle w:val="Heading4"/>
        <w:numPr>
          <w:ilvl w:val="0"/>
          <w:numId w:val="38"/>
        </w:numPr>
      </w:pPr>
      <w:r w:rsidRPr="0059714D">
        <w:t xml:space="preserve">State/territory </w:t>
      </w:r>
      <w:r w:rsidR="000201EB" w:rsidRPr="0059714D">
        <w:t>counting rules</w:t>
      </w:r>
      <w:r w:rsidR="00B30998" w:rsidRPr="0059714D">
        <w:t xml:space="preserve"> for the client-level</w:t>
      </w:r>
    </w:p>
    <w:p w14:paraId="52A6A528" w14:textId="77777777" w:rsidR="00DD6546" w:rsidRDefault="00DD6546" w:rsidP="00293F9E">
      <w:pPr>
        <w:pStyle w:val="AIHWbodytext"/>
        <w:rPr>
          <w:rFonts w:cs="Arial"/>
        </w:rPr>
      </w:pPr>
    </w:p>
    <w:p w14:paraId="1B5D3C2E" w14:textId="267E343C" w:rsidR="006C04CC" w:rsidRPr="00DD6546" w:rsidRDefault="006A783E" w:rsidP="00293F9E">
      <w:pPr>
        <w:pStyle w:val="AIHWbodytext"/>
        <w:rPr>
          <w:rFonts w:cs="Arial"/>
        </w:rPr>
      </w:pPr>
      <w:r w:rsidRPr="00DD6546">
        <w:rPr>
          <w:rFonts w:cs="Arial"/>
        </w:rPr>
        <w:t>The intent of indicator (</w:t>
      </w:r>
      <w:proofErr w:type="spellStart"/>
      <w:r w:rsidRPr="00DD6546">
        <w:rPr>
          <w:rFonts w:cs="Arial"/>
        </w:rPr>
        <w:t>i</w:t>
      </w:r>
      <w:proofErr w:type="spellEnd"/>
      <w:r w:rsidRPr="00DD6546">
        <w:rPr>
          <w:rFonts w:cs="Arial"/>
        </w:rPr>
        <w:t xml:space="preserve">) </w:t>
      </w:r>
      <w:r w:rsidR="00B30998" w:rsidRPr="00DD6546">
        <w:rPr>
          <w:rFonts w:cs="Arial"/>
        </w:rPr>
        <w:t xml:space="preserve">client-level </w:t>
      </w:r>
      <w:r w:rsidRPr="00DD6546">
        <w:rPr>
          <w:rFonts w:cs="Arial"/>
        </w:rPr>
        <w:t>is to measure</w:t>
      </w:r>
      <w:r w:rsidR="00B30998" w:rsidRPr="00DD6546">
        <w:rPr>
          <w:rFonts w:cs="Arial"/>
        </w:rPr>
        <w:t xml:space="preserve"> the</w:t>
      </w:r>
      <w:r w:rsidRPr="00DD6546">
        <w:rPr>
          <w:rFonts w:cs="Arial"/>
        </w:rPr>
        <w:t xml:space="preserve"> performance of </w:t>
      </w:r>
      <w:r w:rsidR="00293F9E" w:rsidRPr="00DD6546">
        <w:rPr>
          <w:rFonts w:cs="Arial"/>
        </w:rPr>
        <w:t xml:space="preserve">each state/territory’s </w:t>
      </w:r>
      <w:r w:rsidRPr="00DD6546">
        <w:rPr>
          <w:rFonts w:cs="Arial"/>
        </w:rPr>
        <w:t>system</w:t>
      </w:r>
      <w:r w:rsidR="00B30998" w:rsidRPr="00DD6546">
        <w:rPr>
          <w:rFonts w:cs="Arial"/>
        </w:rPr>
        <w:t xml:space="preserve"> </w:t>
      </w:r>
      <w:r w:rsidRPr="00DD6546">
        <w:rPr>
          <w:rFonts w:cs="Arial"/>
        </w:rPr>
        <w:t xml:space="preserve">to </w:t>
      </w:r>
      <w:r w:rsidR="00551B21" w:rsidRPr="00DD6546">
        <w:rPr>
          <w:rFonts w:cs="Arial"/>
        </w:rPr>
        <w:t xml:space="preserve">assist vulnerable people to avoid </w:t>
      </w:r>
      <w:r w:rsidRPr="00DD6546">
        <w:rPr>
          <w:rFonts w:cs="Arial"/>
        </w:rPr>
        <w:t>homelessness</w:t>
      </w:r>
      <w:r w:rsidR="001B4DF6" w:rsidRPr="00DD6546">
        <w:rPr>
          <w:rFonts w:cs="Arial"/>
        </w:rPr>
        <w:t>, that is, it assesses the client’s pathway within each state/territory independent</w:t>
      </w:r>
      <w:r w:rsidR="002678D1" w:rsidRPr="00DD6546">
        <w:rPr>
          <w:rFonts w:cs="Arial"/>
        </w:rPr>
        <w:t xml:space="preserve"> of their pathway in another state/territory</w:t>
      </w:r>
      <w:r w:rsidR="001B4DF6" w:rsidRPr="00DD6546">
        <w:rPr>
          <w:rFonts w:cs="Arial"/>
        </w:rPr>
        <w:t xml:space="preserve">. </w:t>
      </w:r>
      <w:r w:rsidR="002678D1" w:rsidRPr="00DD6546">
        <w:rPr>
          <w:rFonts w:cs="Arial"/>
        </w:rPr>
        <w:t>T</w:t>
      </w:r>
      <w:r w:rsidR="00B30998" w:rsidRPr="00DD6546">
        <w:rPr>
          <w:rFonts w:cs="Arial"/>
        </w:rPr>
        <w:t xml:space="preserve">here may be a </w:t>
      </w:r>
      <w:r w:rsidR="00963F22" w:rsidRPr="00DD6546">
        <w:rPr>
          <w:rFonts w:cs="Arial"/>
        </w:rPr>
        <w:t xml:space="preserve">scenario </w:t>
      </w:r>
      <w:r w:rsidR="00B30998" w:rsidRPr="00DD6546">
        <w:rPr>
          <w:rFonts w:cs="Arial"/>
        </w:rPr>
        <w:t xml:space="preserve">when a client who commences at risk in one state and then </w:t>
      </w:r>
      <w:r w:rsidR="00755B71" w:rsidRPr="00DD6546">
        <w:rPr>
          <w:rFonts w:cs="Arial"/>
        </w:rPr>
        <w:t xml:space="preserve">moves to </w:t>
      </w:r>
      <w:proofErr w:type="gramStart"/>
      <w:r w:rsidR="00755B71" w:rsidRPr="00DD6546">
        <w:rPr>
          <w:rFonts w:cs="Arial"/>
        </w:rPr>
        <w:t>an</w:t>
      </w:r>
      <w:r w:rsidR="002A18D9" w:rsidRPr="00DD6546">
        <w:rPr>
          <w:rFonts w:cs="Arial"/>
        </w:rPr>
        <w:t>other</w:t>
      </w:r>
      <w:proofErr w:type="gramEnd"/>
      <w:r w:rsidR="00B30998" w:rsidRPr="00DD6546">
        <w:rPr>
          <w:rFonts w:cs="Arial"/>
        </w:rPr>
        <w:t xml:space="preserve"> state</w:t>
      </w:r>
      <w:r w:rsidR="006633F6" w:rsidRPr="00DD6546">
        <w:rPr>
          <w:rFonts w:cs="Arial"/>
        </w:rPr>
        <w:t>/states</w:t>
      </w:r>
      <w:r w:rsidR="00B30998" w:rsidRPr="00DD6546">
        <w:rPr>
          <w:rFonts w:cs="Arial"/>
        </w:rPr>
        <w:t xml:space="preserve"> during the six-month follow up period.</w:t>
      </w:r>
      <w:r w:rsidRPr="00DD6546">
        <w:rPr>
          <w:rFonts w:cs="Arial"/>
        </w:rPr>
        <w:t xml:space="preserve"> </w:t>
      </w:r>
      <w:r w:rsidR="00293F9E" w:rsidRPr="00DD6546">
        <w:rPr>
          <w:rFonts w:cs="Arial"/>
        </w:rPr>
        <w:t>For client</w:t>
      </w:r>
      <w:r w:rsidR="00755B71" w:rsidRPr="00DD6546">
        <w:rPr>
          <w:rFonts w:cs="Arial"/>
        </w:rPr>
        <w:t>s who move interstate</w:t>
      </w:r>
      <w:r w:rsidR="00293F9E" w:rsidRPr="00DD6546">
        <w:rPr>
          <w:rFonts w:cs="Arial"/>
        </w:rPr>
        <w:t xml:space="preserve">, the assessment </w:t>
      </w:r>
      <w:r w:rsidR="00755B71" w:rsidRPr="00DD6546">
        <w:rPr>
          <w:rFonts w:cs="Arial"/>
        </w:rPr>
        <w:t xml:space="preserve">of the effectiveness of the system to assist with avoiding homelessness </w:t>
      </w:r>
      <w:r w:rsidR="00293F9E" w:rsidRPr="00DD6546">
        <w:rPr>
          <w:rFonts w:cs="Arial"/>
        </w:rPr>
        <w:t xml:space="preserve">is limited to </w:t>
      </w:r>
      <w:r w:rsidR="00755B71" w:rsidRPr="00DD6546">
        <w:rPr>
          <w:rFonts w:cs="Arial"/>
        </w:rPr>
        <w:t>only those</w:t>
      </w:r>
      <w:r w:rsidR="00293F9E" w:rsidRPr="00DD6546">
        <w:rPr>
          <w:rFonts w:cs="Arial"/>
        </w:rPr>
        <w:t xml:space="preserve"> support periods in one jurisdiction. </w:t>
      </w:r>
      <w:r w:rsidR="00755B71" w:rsidRPr="00DD6546">
        <w:rPr>
          <w:rFonts w:cs="Arial"/>
        </w:rPr>
        <w:t>That is</w:t>
      </w:r>
      <w:r w:rsidR="00293F9E" w:rsidRPr="00DD6546">
        <w:rPr>
          <w:rFonts w:cs="Arial"/>
        </w:rPr>
        <w:t xml:space="preserve">, there is potential for </w:t>
      </w:r>
      <w:r w:rsidR="00755B71" w:rsidRPr="00DD6546">
        <w:rPr>
          <w:rFonts w:cs="Arial"/>
        </w:rPr>
        <w:t>a</w:t>
      </w:r>
      <w:r w:rsidR="00293F9E" w:rsidRPr="00DD6546">
        <w:rPr>
          <w:rFonts w:cs="Arial"/>
        </w:rPr>
        <w:t xml:space="preserve"> client to </w:t>
      </w:r>
      <w:r w:rsidR="002A18D9" w:rsidRPr="00DD6546">
        <w:rPr>
          <w:rFonts w:cs="Arial"/>
        </w:rPr>
        <w:t xml:space="preserve">be enumerated </w:t>
      </w:r>
      <w:r w:rsidR="000E2CA8" w:rsidRPr="00DD6546">
        <w:rPr>
          <w:rFonts w:cs="Arial"/>
        </w:rPr>
        <w:t>in two</w:t>
      </w:r>
      <w:r w:rsidR="00293F9E" w:rsidRPr="00DD6546">
        <w:rPr>
          <w:rFonts w:cs="Arial"/>
        </w:rPr>
        <w:t xml:space="preserve"> states</w:t>
      </w:r>
      <w:r w:rsidR="000E2CA8" w:rsidRPr="00DD6546">
        <w:rPr>
          <w:rFonts w:cs="Arial"/>
        </w:rPr>
        <w:t xml:space="preserve"> if they have </w:t>
      </w:r>
      <w:r w:rsidR="00963F22" w:rsidRPr="00DD6546">
        <w:rPr>
          <w:rFonts w:cs="Arial"/>
        </w:rPr>
        <w:t>a</w:t>
      </w:r>
      <w:r w:rsidR="00755B71" w:rsidRPr="00DD6546">
        <w:rPr>
          <w:rFonts w:cs="Arial"/>
        </w:rPr>
        <w:t xml:space="preserve">t least one in-scope </w:t>
      </w:r>
      <w:r w:rsidR="000E2CA8" w:rsidRPr="00DD6546">
        <w:rPr>
          <w:rFonts w:cs="Arial"/>
        </w:rPr>
        <w:t xml:space="preserve">at risk support </w:t>
      </w:r>
      <w:r w:rsidR="00755B71" w:rsidRPr="00DD6546">
        <w:rPr>
          <w:rFonts w:cs="Arial"/>
        </w:rPr>
        <w:t>throughout the period in more than one state/territory</w:t>
      </w:r>
      <w:r w:rsidR="000E2CA8" w:rsidRPr="00DD6546">
        <w:rPr>
          <w:rFonts w:cs="Arial"/>
        </w:rPr>
        <w:t>. However, nationally</w:t>
      </w:r>
      <w:r w:rsidR="00D63920" w:rsidRPr="00DD6546">
        <w:rPr>
          <w:rFonts w:cs="Arial"/>
        </w:rPr>
        <w:t>,</w:t>
      </w:r>
      <w:r w:rsidR="00963F22" w:rsidRPr="00DD6546">
        <w:rPr>
          <w:rFonts w:cs="Arial"/>
        </w:rPr>
        <w:t xml:space="preserve"> the client would only be </w:t>
      </w:r>
      <w:r w:rsidR="00755B71" w:rsidRPr="00DD6546">
        <w:rPr>
          <w:rFonts w:cs="Arial"/>
        </w:rPr>
        <w:t>enumerated</w:t>
      </w:r>
      <w:r w:rsidR="00963F22" w:rsidRPr="00DD6546">
        <w:rPr>
          <w:rFonts w:cs="Arial"/>
        </w:rPr>
        <w:t xml:space="preserve"> once.</w:t>
      </w:r>
      <w:r w:rsidR="00852C77" w:rsidRPr="00DD6546">
        <w:rPr>
          <w:rFonts w:cs="Arial"/>
        </w:rPr>
        <w:t xml:space="preserve"> </w:t>
      </w:r>
    </w:p>
    <w:p w14:paraId="72C8EE80" w14:textId="6BC023F8" w:rsidR="006C04CC" w:rsidRDefault="006C04CC" w:rsidP="00E404C6">
      <w:pPr>
        <w:pStyle w:val="AIHWbodytext"/>
        <w:rPr>
          <w:lang w:eastAsia="en-AU"/>
        </w:rPr>
      </w:pPr>
    </w:p>
    <w:p w14:paraId="4530CF03" w14:textId="38248018" w:rsidR="00922558" w:rsidRPr="00E404C6" w:rsidRDefault="00922558" w:rsidP="00E404C6">
      <w:pPr>
        <w:pStyle w:val="AIHWbodytext"/>
        <w:rPr>
          <w:lang w:eastAsia="en-AU"/>
        </w:rPr>
      </w:pPr>
    </w:p>
    <w:sectPr w:rsidR="00922558" w:rsidRPr="00E404C6" w:rsidSect="0059714D">
      <w:footerReference w:type="first" r:id="rId60"/>
      <w:pgSz w:w="11906" w:h="16838" w:code="9"/>
      <w:pgMar w:top="1418" w:right="1418" w:bottom="1134" w:left="1418" w:header="96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A9A8F" w14:textId="77777777" w:rsidR="000829A2" w:rsidRDefault="000829A2">
      <w:r>
        <w:separator/>
      </w:r>
    </w:p>
  </w:endnote>
  <w:endnote w:type="continuationSeparator" w:id="0">
    <w:p w14:paraId="1070A187" w14:textId="77777777" w:rsidR="000829A2" w:rsidRDefault="000829A2">
      <w:r>
        <w:continuationSeparator/>
      </w:r>
    </w:p>
    <w:p w14:paraId="4BF164A0" w14:textId="77777777" w:rsidR="000829A2" w:rsidRDefault="000829A2"/>
    <w:p w14:paraId="06AE2AE4" w14:textId="77777777" w:rsidR="000829A2" w:rsidRDefault="000829A2"/>
    <w:p w14:paraId="62B01B5B" w14:textId="77777777" w:rsidR="000829A2" w:rsidRDefault="000829A2"/>
    <w:p w14:paraId="19166A8C" w14:textId="77777777" w:rsidR="000829A2" w:rsidRDefault="000829A2"/>
    <w:p w14:paraId="0C023356" w14:textId="77777777" w:rsidR="000829A2" w:rsidRDefault="00082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38EF" w14:textId="77777777" w:rsidR="00867C9F" w:rsidRPr="00BE6005" w:rsidRDefault="00867C9F" w:rsidP="00BE6005">
    <w:pPr>
      <w:pStyle w:val="Footer"/>
      <w:tabs>
        <w:tab w:val="clear" w:pos="4153"/>
        <w:tab w:val="clear" w:pos="8306"/>
        <w:tab w:val="center" w:pos="-567"/>
        <w:tab w:val="left" w:pos="0"/>
        <w:tab w:val="right" w:pos="9072"/>
      </w:tabs>
      <w:spacing w:before="0" w:after="0"/>
      <w:ind w:left="-567"/>
      <w:jc w:val="left"/>
      <w:rPr>
        <w:color w:val="000000"/>
      </w:rPr>
    </w:pPr>
    <w:r w:rsidRPr="002B3E26">
      <w:rPr>
        <w:rStyle w:val="PageNumber"/>
      </w:rPr>
      <w:fldChar w:fldCharType="begin"/>
    </w:r>
    <w:r w:rsidRPr="002B3E26">
      <w:rPr>
        <w:rStyle w:val="PageNumber"/>
      </w:rPr>
      <w:instrText xml:space="preserve"> PAGE   \* MERGEFORMAT </w:instrText>
    </w:r>
    <w:r w:rsidRPr="002B3E26">
      <w:rPr>
        <w:rStyle w:val="PageNumber"/>
      </w:rPr>
      <w:fldChar w:fldCharType="separate"/>
    </w:r>
    <w:r>
      <w:rPr>
        <w:rStyle w:val="PageNumber"/>
        <w:noProof/>
      </w:rPr>
      <w:t>2</w:t>
    </w:r>
    <w:r w:rsidRPr="002B3E26">
      <w:rPr>
        <w:rStyle w:val="PageNumber"/>
      </w:rPr>
      <w:fldChar w:fldCharType="end"/>
    </w:r>
    <w:r>
      <w:rPr>
        <w:rStyle w:val="PageNumber"/>
      </w:rPr>
      <w:tab/>
    </w:r>
    <w:r w:rsidRPr="00F5188A">
      <w:rPr>
        <w:color w:val="7F7F7F"/>
      </w:rPr>
      <w:t>&lt;Publication title [footer—double-click to insert]&gt;</w:t>
    </w:r>
  </w:p>
  <w:p w14:paraId="5CBC23EE" w14:textId="77777777" w:rsidR="00867C9F" w:rsidRDefault="00867C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140341"/>
      <w:docPartObj>
        <w:docPartGallery w:val="Page Numbers (Bottom of Page)"/>
        <w:docPartUnique/>
      </w:docPartObj>
    </w:sdtPr>
    <w:sdtEndPr/>
    <w:sdtContent>
      <w:sdt>
        <w:sdtPr>
          <w:id w:val="-159306681"/>
          <w:docPartObj>
            <w:docPartGallery w:val="Page Numbers (Top of Page)"/>
            <w:docPartUnique/>
          </w:docPartObj>
        </w:sdtPr>
        <w:sdtEndPr/>
        <w:sdtContent>
          <w:p w14:paraId="7F23077A" w14:textId="7F24CCAA" w:rsidR="0059714D" w:rsidRDefault="0059714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45FCDCF" w14:textId="725D2AD7" w:rsidR="00867C9F" w:rsidRDefault="00867C9F" w:rsidP="00C5166B">
    <w:pPr>
      <w:pStyle w:val="Footer"/>
      <w:tabs>
        <w:tab w:val="clear" w:pos="4153"/>
        <w:tab w:val="clear" w:pos="8306"/>
        <w:tab w:val="left" w:pos="3204"/>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884394"/>
      <w:docPartObj>
        <w:docPartGallery w:val="Page Numbers (Bottom of Page)"/>
        <w:docPartUnique/>
      </w:docPartObj>
    </w:sdtPr>
    <w:sdtEndPr/>
    <w:sdtContent>
      <w:sdt>
        <w:sdtPr>
          <w:id w:val="1728636285"/>
          <w:docPartObj>
            <w:docPartGallery w:val="Page Numbers (Top of Page)"/>
            <w:docPartUnique/>
          </w:docPartObj>
        </w:sdtPr>
        <w:sdtEndPr/>
        <w:sdtContent>
          <w:p w14:paraId="35965978" w14:textId="02A71663" w:rsidR="0059714D" w:rsidRDefault="0059714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85EC536" w14:textId="07A3E50A" w:rsidR="00867C9F" w:rsidRDefault="00867C9F" w:rsidP="00543965">
    <w:pPr>
      <w:pStyle w:val="Footer"/>
      <w:tabs>
        <w:tab w:val="left" w:pos="400"/>
        <w:tab w:val="center" w:pos="4535"/>
      </w:tabs>
      <w:spacing w:after="0"/>
      <w:ind w:left="-1418"/>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91259"/>
      <w:docPartObj>
        <w:docPartGallery w:val="Page Numbers (Bottom of Page)"/>
        <w:docPartUnique/>
      </w:docPartObj>
    </w:sdtPr>
    <w:sdtEndPr/>
    <w:sdtContent>
      <w:sdt>
        <w:sdtPr>
          <w:id w:val="454294286"/>
          <w:docPartObj>
            <w:docPartGallery w:val="Page Numbers (Top of Page)"/>
            <w:docPartUnique/>
          </w:docPartObj>
        </w:sdtPr>
        <w:sdtEndPr/>
        <w:sdtContent>
          <w:p w14:paraId="5CA66B68" w14:textId="208759D0" w:rsidR="0059714D" w:rsidRDefault="0059714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92E546F" w14:textId="03AC8C2A" w:rsidR="0059714D" w:rsidRDefault="0059714D" w:rsidP="00543965">
    <w:pPr>
      <w:pStyle w:val="Footer"/>
      <w:tabs>
        <w:tab w:val="left" w:pos="400"/>
        <w:tab w:val="center" w:pos="4535"/>
      </w:tabs>
      <w:spacing w:after="0"/>
      <w:ind w:left="-1418"/>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093595"/>
      <w:docPartObj>
        <w:docPartGallery w:val="Page Numbers (Bottom of Page)"/>
        <w:docPartUnique/>
      </w:docPartObj>
    </w:sdtPr>
    <w:sdtEndPr/>
    <w:sdtContent>
      <w:sdt>
        <w:sdtPr>
          <w:id w:val="201141451"/>
          <w:docPartObj>
            <w:docPartGallery w:val="Page Numbers (Top of Page)"/>
            <w:docPartUnique/>
          </w:docPartObj>
        </w:sdtPr>
        <w:sdtEndPr/>
        <w:sdtContent>
          <w:p w14:paraId="5596E843" w14:textId="0F7915EF" w:rsidR="0059714D" w:rsidRDefault="0059714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7AC695" w14:textId="363E1028" w:rsidR="0059714D" w:rsidRDefault="0059714D" w:rsidP="00543965">
    <w:pPr>
      <w:pStyle w:val="Footer"/>
      <w:tabs>
        <w:tab w:val="left" w:pos="400"/>
        <w:tab w:val="center" w:pos="4535"/>
      </w:tabs>
      <w:spacing w:after="0"/>
      <w:ind w:left="-1418"/>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608883"/>
      <w:docPartObj>
        <w:docPartGallery w:val="Page Numbers (Bottom of Page)"/>
        <w:docPartUnique/>
      </w:docPartObj>
    </w:sdtPr>
    <w:sdtEndPr/>
    <w:sdtContent>
      <w:sdt>
        <w:sdtPr>
          <w:id w:val="-88775331"/>
          <w:docPartObj>
            <w:docPartGallery w:val="Page Numbers (Top of Page)"/>
            <w:docPartUnique/>
          </w:docPartObj>
        </w:sdtPr>
        <w:sdtEndPr/>
        <w:sdtContent>
          <w:p w14:paraId="772AD319" w14:textId="05AC0A57" w:rsidR="0059714D" w:rsidRDefault="0059714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F7EC0CD" w14:textId="0D15188B" w:rsidR="0059714D" w:rsidRDefault="0059714D" w:rsidP="0059714D">
    <w:pPr>
      <w:pStyle w:val="Footer"/>
      <w:tabs>
        <w:tab w:val="left" w:pos="400"/>
        <w:tab w:val="center" w:pos="4535"/>
      </w:tabs>
      <w:spacing w:after="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55F61" w14:textId="77777777" w:rsidR="000829A2" w:rsidRDefault="000829A2">
      <w:r>
        <w:separator/>
      </w:r>
    </w:p>
  </w:footnote>
  <w:footnote w:type="continuationSeparator" w:id="0">
    <w:p w14:paraId="76A97E16" w14:textId="77777777" w:rsidR="000829A2" w:rsidRDefault="000829A2">
      <w:r>
        <w:continuationSeparator/>
      </w:r>
    </w:p>
    <w:p w14:paraId="5F5706CE" w14:textId="77777777" w:rsidR="000829A2" w:rsidRDefault="000829A2"/>
    <w:p w14:paraId="28ACED92" w14:textId="77777777" w:rsidR="000829A2" w:rsidRDefault="000829A2"/>
    <w:p w14:paraId="0D22C0A0" w14:textId="77777777" w:rsidR="000829A2" w:rsidRDefault="000829A2"/>
    <w:p w14:paraId="094471A7" w14:textId="77777777" w:rsidR="000829A2" w:rsidRDefault="000829A2"/>
    <w:p w14:paraId="21C8B7A3" w14:textId="77777777" w:rsidR="000829A2" w:rsidRDefault="00082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326BF" w14:textId="77777777" w:rsidR="00867C9F" w:rsidRDefault="00867C9F" w:rsidP="00CD1D61">
    <w:pPr>
      <w:pStyle w:val="Header"/>
      <w:tabs>
        <w:tab w:val="clear" w:pos="4153"/>
        <w:tab w:val="clear" w:pos="8306"/>
        <w:tab w:val="center" w:pos="4535"/>
        <w:tab w:val="right" w:pos="90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74ED9" w14:textId="443BD046" w:rsidR="00867C9F" w:rsidRDefault="00C048C1">
    <w:pPr>
      <w:pStyle w:val="Header"/>
    </w:pPr>
    <w:r>
      <w:rPr>
        <w:noProof/>
      </w:rPr>
      <w:drawing>
        <wp:anchor distT="0" distB="0" distL="114300" distR="114300" simplePos="0" relativeHeight="251658752" behindDoc="0" locked="0" layoutInCell="1" allowOverlap="1" wp14:anchorId="32C7E23B" wp14:editId="393ECAE6">
          <wp:simplePos x="0" y="0"/>
          <wp:positionH relativeFrom="column">
            <wp:posOffset>-900430</wp:posOffset>
          </wp:positionH>
          <wp:positionV relativeFrom="page">
            <wp:posOffset>12065</wp:posOffset>
          </wp:positionV>
          <wp:extent cx="7559040" cy="1819275"/>
          <wp:effectExtent l="0" t="0" r="3810" b="9525"/>
          <wp:wrapTopAndBottom/>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040" cy="18192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00086" w14:textId="77777777" w:rsidR="0059714D" w:rsidRDefault="005971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52401" w14:textId="77777777" w:rsidR="0059714D" w:rsidRDefault="00597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A620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2B8F8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7C61C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C621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57AB5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94B0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327C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8CAC9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F2F2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029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83EE7"/>
    <w:multiLevelType w:val="hybridMultilevel"/>
    <w:tmpl w:val="7E8A04E2"/>
    <w:lvl w:ilvl="0" w:tplc="93DE41C8">
      <w:start w:val="1"/>
      <w:numFmt w:val="upperLetter"/>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08F26DA"/>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28436BE"/>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5F9612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4B05D64"/>
    <w:multiLevelType w:val="multilevel"/>
    <w:tmpl w:val="65669AAE"/>
    <w:lvl w:ilvl="0">
      <w:start w:val="1"/>
      <w:numFmt w:val="bullet"/>
      <w:lvlText w:val=""/>
      <w:lvlJc w:val="left"/>
      <w:pPr>
        <w:tabs>
          <w:tab w:val="num" w:pos="975"/>
        </w:tabs>
        <w:ind w:left="975" w:hanging="57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B341AC"/>
    <w:multiLevelType w:val="hybridMultilevel"/>
    <w:tmpl w:val="57AE1FDC"/>
    <w:lvl w:ilvl="0" w:tplc="6400C8F6">
      <w:start w:val="1"/>
      <w:numFmt w:val="bullet"/>
      <w:lvlText w:val="•"/>
      <w:lvlJc w:val="left"/>
      <w:pPr>
        <w:tabs>
          <w:tab w:val="num" w:pos="397"/>
        </w:tabs>
        <w:ind w:left="397" w:hanging="397"/>
      </w:pPr>
      <w:rPr>
        <w:rFonts w:ascii="Book Antiqua" w:hAnsi="Book Antiqua"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E147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7DB6FC1"/>
    <w:multiLevelType w:val="hybridMultilevel"/>
    <w:tmpl w:val="454CEE58"/>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0D00341"/>
    <w:multiLevelType w:val="multilevel"/>
    <w:tmpl w:val="18FE2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right"/>
      <w:pPr>
        <w:tabs>
          <w:tab w:val="num" w:pos="2160"/>
        </w:tabs>
        <w:ind w:left="2160" w:hanging="1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0E35CC"/>
    <w:multiLevelType w:val="hybridMultilevel"/>
    <w:tmpl w:val="129430F2"/>
    <w:name w:val="decimal2"/>
    <w:lvl w:ilvl="0" w:tplc="E0362052">
      <w:start w:val="1"/>
      <w:numFmt w:val="decimal"/>
      <w:lvlText w:val="%1."/>
      <w:lvlJc w:val="left"/>
      <w:pPr>
        <w:ind w:left="4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43F01A7"/>
    <w:multiLevelType w:val="singleLevel"/>
    <w:tmpl w:val="171AB1BE"/>
    <w:name w:val="decimal"/>
    <w:lvl w:ilvl="0">
      <w:start w:val="1"/>
      <w:numFmt w:val="decimal"/>
      <w:lvlText w:val="%1."/>
      <w:lvlJc w:val="left"/>
      <w:pPr>
        <w:ind w:left="420" w:hanging="360"/>
      </w:pPr>
    </w:lvl>
  </w:abstractNum>
  <w:abstractNum w:abstractNumId="21" w15:restartNumberingAfterBreak="0">
    <w:nsid w:val="372A1499"/>
    <w:multiLevelType w:val="multilevel"/>
    <w:tmpl w:val="C9F2D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right"/>
      <w:pPr>
        <w:tabs>
          <w:tab w:val="num" w:pos="2160"/>
        </w:tabs>
        <w:ind w:left="2160" w:hanging="1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9C747F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A5916B4"/>
    <w:multiLevelType w:val="hybridMultilevel"/>
    <w:tmpl w:val="870658F4"/>
    <w:lvl w:ilvl="0" w:tplc="105C0ADE">
      <w:start w:val="1"/>
      <w:numFmt w:val="bullet"/>
      <w:pStyle w:val="BoxBullet1"/>
      <w:lvlText w:val=""/>
      <w:lvlJc w:val="left"/>
      <w:pPr>
        <w:tabs>
          <w:tab w:val="num" w:pos="964"/>
        </w:tabs>
        <w:ind w:left="964" w:hanging="720"/>
      </w:pPr>
      <w:rPr>
        <w:rFonts w:ascii="Symbol" w:hAnsi="Symbol" w:hint="default"/>
      </w:rPr>
    </w:lvl>
    <w:lvl w:ilvl="1" w:tplc="0C090003" w:tentative="1">
      <w:start w:val="1"/>
      <w:numFmt w:val="bullet"/>
      <w:lvlText w:val="o"/>
      <w:lvlJc w:val="left"/>
      <w:pPr>
        <w:tabs>
          <w:tab w:val="num" w:pos="1429"/>
        </w:tabs>
        <w:ind w:left="1429" w:hanging="360"/>
      </w:pPr>
      <w:rPr>
        <w:rFonts w:ascii="Courier New" w:hAnsi="Courier New" w:cs="Courier New" w:hint="default"/>
      </w:rPr>
    </w:lvl>
    <w:lvl w:ilvl="2" w:tplc="0C090005" w:tentative="1">
      <w:start w:val="1"/>
      <w:numFmt w:val="bullet"/>
      <w:lvlText w:val=""/>
      <w:lvlJc w:val="left"/>
      <w:pPr>
        <w:tabs>
          <w:tab w:val="num" w:pos="2149"/>
        </w:tabs>
        <w:ind w:left="2149" w:hanging="360"/>
      </w:pPr>
      <w:rPr>
        <w:rFonts w:ascii="Wingdings" w:hAnsi="Wingdings" w:hint="default"/>
      </w:rPr>
    </w:lvl>
    <w:lvl w:ilvl="3" w:tplc="0C090001" w:tentative="1">
      <w:start w:val="1"/>
      <w:numFmt w:val="bullet"/>
      <w:lvlText w:val=""/>
      <w:lvlJc w:val="left"/>
      <w:pPr>
        <w:tabs>
          <w:tab w:val="num" w:pos="2869"/>
        </w:tabs>
        <w:ind w:left="2869" w:hanging="360"/>
      </w:pPr>
      <w:rPr>
        <w:rFonts w:ascii="Symbol" w:hAnsi="Symbol" w:hint="default"/>
      </w:rPr>
    </w:lvl>
    <w:lvl w:ilvl="4" w:tplc="0C090003" w:tentative="1">
      <w:start w:val="1"/>
      <w:numFmt w:val="bullet"/>
      <w:lvlText w:val="o"/>
      <w:lvlJc w:val="left"/>
      <w:pPr>
        <w:tabs>
          <w:tab w:val="num" w:pos="3589"/>
        </w:tabs>
        <w:ind w:left="3589" w:hanging="360"/>
      </w:pPr>
      <w:rPr>
        <w:rFonts w:ascii="Courier New" w:hAnsi="Courier New" w:cs="Courier New" w:hint="default"/>
      </w:rPr>
    </w:lvl>
    <w:lvl w:ilvl="5" w:tplc="0C090005" w:tentative="1">
      <w:start w:val="1"/>
      <w:numFmt w:val="bullet"/>
      <w:lvlText w:val=""/>
      <w:lvlJc w:val="left"/>
      <w:pPr>
        <w:tabs>
          <w:tab w:val="num" w:pos="4309"/>
        </w:tabs>
        <w:ind w:left="4309" w:hanging="360"/>
      </w:pPr>
      <w:rPr>
        <w:rFonts w:ascii="Wingdings" w:hAnsi="Wingdings" w:hint="default"/>
      </w:rPr>
    </w:lvl>
    <w:lvl w:ilvl="6" w:tplc="0C090001" w:tentative="1">
      <w:start w:val="1"/>
      <w:numFmt w:val="bullet"/>
      <w:lvlText w:val=""/>
      <w:lvlJc w:val="left"/>
      <w:pPr>
        <w:tabs>
          <w:tab w:val="num" w:pos="5029"/>
        </w:tabs>
        <w:ind w:left="5029" w:hanging="360"/>
      </w:pPr>
      <w:rPr>
        <w:rFonts w:ascii="Symbol" w:hAnsi="Symbol" w:hint="default"/>
      </w:rPr>
    </w:lvl>
    <w:lvl w:ilvl="7" w:tplc="0C090003" w:tentative="1">
      <w:start w:val="1"/>
      <w:numFmt w:val="bullet"/>
      <w:lvlText w:val="o"/>
      <w:lvlJc w:val="left"/>
      <w:pPr>
        <w:tabs>
          <w:tab w:val="num" w:pos="5749"/>
        </w:tabs>
        <w:ind w:left="5749" w:hanging="360"/>
      </w:pPr>
      <w:rPr>
        <w:rFonts w:ascii="Courier New" w:hAnsi="Courier New" w:cs="Courier New" w:hint="default"/>
      </w:rPr>
    </w:lvl>
    <w:lvl w:ilvl="8" w:tplc="0C090005" w:tentative="1">
      <w:start w:val="1"/>
      <w:numFmt w:val="bullet"/>
      <w:lvlText w:val=""/>
      <w:lvlJc w:val="left"/>
      <w:pPr>
        <w:tabs>
          <w:tab w:val="num" w:pos="6469"/>
        </w:tabs>
        <w:ind w:left="6469" w:hanging="360"/>
      </w:pPr>
      <w:rPr>
        <w:rFonts w:ascii="Wingdings" w:hAnsi="Wingdings" w:hint="default"/>
      </w:rPr>
    </w:lvl>
  </w:abstractNum>
  <w:abstractNum w:abstractNumId="24" w15:restartNumberingAfterBreak="0">
    <w:nsid w:val="3C606970"/>
    <w:multiLevelType w:val="singleLevel"/>
    <w:tmpl w:val="9C669EE0"/>
    <w:lvl w:ilvl="0">
      <w:start w:val="1"/>
      <w:numFmt w:val="decimal"/>
      <w:lvlText w:val="%1."/>
      <w:lvlJc w:val="left"/>
      <w:pPr>
        <w:ind w:left="420" w:hanging="360"/>
      </w:pPr>
    </w:lvl>
  </w:abstractNum>
  <w:abstractNum w:abstractNumId="25" w15:restartNumberingAfterBreak="0">
    <w:nsid w:val="3CD61917"/>
    <w:multiLevelType w:val="singleLevel"/>
    <w:tmpl w:val="7CA2D20C"/>
    <w:name w:val="disc"/>
    <w:lvl w:ilvl="0">
      <w:numFmt w:val="bullet"/>
      <w:lvlText w:val="•"/>
      <w:lvlJc w:val="left"/>
      <w:pPr>
        <w:ind w:left="420" w:hanging="360"/>
      </w:pPr>
    </w:lvl>
  </w:abstractNum>
  <w:abstractNum w:abstractNumId="26" w15:restartNumberingAfterBreak="0">
    <w:nsid w:val="3EEE64F6"/>
    <w:multiLevelType w:val="hybridMultilevel"/>
    <w:tmpl w:val="E3C4755A"/>
    <w:lvl w:ilvl="0" w:tplc="F146C120">
      <w:start w:val="1"/>
      <w:numFmt w:val="bullet"/>
      <w:lvlText w:val="–"/>
      <w:lvlJc w:val="left"/>
      <w:pPr>
        <w:tabs>
          <w:tab w:val="num" w:pos="794"/>
        </w:tabs>
        <w:ind w:left="794" w:hanging="397"/>
      </w:pPr>
      <w:rPr>
        <w:rFonts w:ascii="Book Antiqua" w:hAnsi="Book Antiqua" w:hint="default"/>
        <w:b w:val="0"/>
        <w:i w:val="0"/>
        <w:color w:val="000000"/>
        <w:sz w:val="22"/>
      </w:rPr>
    </w:lvl>
    <w:lvl w:ilvl="1" w:tplc="6D00F300">
      <w:start w:val="1"/>
      <w:numFmt w:val="bullet"/>
      <w:pStyle w:val="Bullet3"/>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8072A3"/>
    <w:multiLevelType w:val="hybridMultilevel"/>
    <w:tmpl w:val="41D04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7D16CE0"/>
    <w:multiLevelType w:val="multilevel"/>
    <w:tmpl w:val="4844D8AA"/>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576"/>
        </w:tabs>
        <w:ind w:left="576" w:hanging="576"/>
      </w:pPr>
      <w:rPr>
        <w:rFonts w:hint="default"/>
      </w:rPr>
    </w:lvl>
    <w:lvl w:ilvl="2">
      <w:start w:val="1"/>
      <w:numFmt w:val="bullet"/>
      <w:lvlText w:val=""/>
      <w:lvlJc w:val="left"/>
      <w:pPr>
        <w:tabs>
          <w:tab w:val="num" w:pos="720"/>
        </w:tabs>
        <w:ind w:left="720" w:hanging="720"/>
      </w:pPr>
      <w:rPr>
        <w:rFonts w:hint="default"/>
      </w:rPr>
    </w:lvl>
    <w:lvl w:ilvl="3">
      <w:start w:val="1"/>
      <w:numFmt w:val="bullet"/>
      <w:lvlText w:val=""/>
      <w:lvlJc w:val="left"/>
      <w:pPr>
        <w:tabs>
          <w:tab w:val="num" w:pos="864"/>
        </w:tabs>
        <w:ind w:left="864" w:hanging="864"/>
      </w:pPr>
      <w:rPr>
        <w:rFonts w:hint="default"/>
      </w:rPr>
    </w:lvl>
    <w:lvl w:ilvl="4">
      <w:start w:val="1"/>
      <w:numFmt w:val="bullet"/>
      <w:lvlText w:val=""/>
      <w:lvlJc w:val="left"/>
      <w:pPr>
        <w:tabs>
          <w:tab w:val="num" w:pos="1008"/>
        </w:tabs>
        <w:ind w:left="1008" w:hanging="1008"/>
      </w:pPr>
      <w:rPr>
        <w:rFonts w:hint="default"/>
      </w:rPr>
    </w:lvl>
    <w:lvl w:ilvl="5">
      <w:start w:val="1"/>
      <w:numFmt w:val="bullet"/>
      <w:lvlText w:val=""/>
      <w:lvlJc w:val="left"/>
      <w:pPr>
        <w:tabs>
          <w:tab w:val="num" w:pos="1152"/>
        </w:tabs>
        <w:ind w:left="1152" w:hanging="1152"/>
      </w:pPr>
      <w:rPr>
        <w:rFonts w:hint="default"/>
      </w:rPr>
    </w:lvl>
    <w:lvl w:ilvl="6">
      <w:start w:val="1"/>
      <w:numFmt w:val="bullet"/>
      <w:lvlText w:val=""/>
      <w:lvlJc w:val="left"/>
      <w:pPr>
        <w:tabs>
          <w:tab w:val="num" w:pos="1296"/>
        </w:tabs>
        <w:ind w:left="1296" w:hanging="1296"/>
      </w:pPr>
      <w:rPr>
        <w:rFonts w:hint="default"/>
      </w:rPr>
    </w:lvl>
    <w:lvl w:ilvl="7">
      <w:start w:val="1"/>
      <w:numFmt w:val="bullet"/>
      <w:lvlText w:val=""/>
      <w:lvlJc w:val="left"/>
      <w:pPr>
        <w:tabs>
          <w:tab w:val="num" w:pos="1440"/>
        </w:tabs>
        <w:ind w:left="1440" w:hanging="1440"/>
      </w:pPr>
      <w:rPr>
        <w:rFonts w:hint="default"/>
      </w:rPr>
    </w:lvl>
    <w:lvl w:ilvl="8">
      <w:start w:val="1"/>
      <w:numFmt w:val="bullet"/>
      <w:lvlText w:val=""/>
      <w:lvlJc w:val="left"/>
      <w:pPr>
        <w:tabs>
          <w:tab w:val="num" w:pos="1584"/>
        </w:tabs>
        <w:ind w:left="1584" w:hanging="1584"/>
      </w:pPr>
      <w:rPr>
        <w:rFonts w:hint="default"/>
      </w:rPr>
    </w:lvl>
  </w:abstractNum>
  <w:abstractNum w:abstractNumId="29" w15:restartNumberingAfterBreak="0">
    <w:nsid w:val="4C755FAF"/>
    <w:multiLevelType w:val="hybridMultilevel"/>
    <w:tmpl w:val="11C2B5A8"/>
    <w:name w:val="decimal22"/>
    <w:lvl w:ilvl="0" w:tplc="4692A788">
      <w:start w:val="1"/>
      <w:numFmt w:val="decimal"/>
      <w:lvlText w:val="%1."/>
      <w:lvlJc w:val="left"/>
      <w:pPr>
        <w:ind w:left="4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DD81E50"/>
    <w:multiLevelType w:val="singleLevel"/>
    <w:tmpl w:val="9C669EE0"/>
    <w:lvl w:ilvl="0">
      <w:start w:val="1"/>
      <w:numFmt w:val="decimal"/>
      <w:lvlText w:val="%1."/>
      <w:lvlJc w:val="left"/>
      <w:pPr>
        <w:ind w:left="420" w:hanging="360"/>
      </w:pPr>
    </w:lvl>
  </w:abstractNum>
  <w:abstractNum w:abstractNumId="31" w15:restartNumberingAfterBreak="0">
    <w:nsid w:val="4E65448F"/>
    <w:multiLevelType w:val="singleLevel"/>
    <w:tmpl w:val="A734E242"/>
    <w:lvl w:ilvl="0">
      <w:numFmt w:val="bullet"/>
      <w:lvlText w:val="•"/>
      <w:lvlJc w:val="left"/>
      <w:pPr>
        <w:ind w:left="420" w:hanging="360"/>
      </w:pPr>
    </w:lvl>
  </w:abstractNum>
  <w:abstractNum w:abstractNumId="32" w15:restartNumberingAfterBreak="0">
    <w:nsid w:val="5B951B8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E88541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F55010A"/>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5123B06"/>
    <w:multiLevelType w:val="hybridMultilevel"/>
    <w:tmpl w:val="06E608E4"/>
    <w:lvl w:ilvl="0" w:tplc="9036E948">
      <w:start w:val="1"/>
      <w:numFmt w:val="upperLetter"/>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B4801A6"/>
    <w:multiLevelType w:val="multilevel"/>
    <w:tmpl w:val="D0969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right"/>
      <w:pPr>
        <w:tabs>
          <w:tab w:val="num" w:pos="2160"/>
        </w:tabs>
        <w:ind w:left="2160" w:hanging="1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D6A5CA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D7318A7"/>
    <w:multiLevelType w:val="hybridMultilevel"/>
    <w:tmpl w:val="8B68B71A"/>
    <w:lvl w:ilvl="0" w:tplc="F146C120">
      <w:start w:val="1"/>
      <w:numFmt w:val="bullet"/>
      <w:lvlText w:val="–"/>
      <w:lvlJc w:val="left"/>
      <w:pPr>
        <w:tabs>
          <w:tab w:val="num" w:pos="794"/>
        </w:tabs>
        <w:ind w:left="794" w:hanging="397"/>
      </w:pPr>
      <w:rPr>
        <w:rFonts w:ascii="Book Antiqua" w:hAnsi="Book Antiqua"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5811B5"/>
    <w:multiLevelType w:val="hybridMultilevel"/>
    <w:tmpl w:val="DDFA5E9C"/>
    <w:lvl w:ilvl="0" w:tplc="EBB2C5BC">
      <w:start w:val="1"/>
      <w:numFmt w:val="bullet"/>
      <w:lvlText w:val=""/>
      <w:lvlJc w:val="left"/>
      <w:pPr>
        <w:ind w:left="829" w:hanging="377"/>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40" w15:restartNumberingAfterBreak="0">
    <w:nsid w:val="7ACA7BF8"/>
    <w:multiLevelType w:val="hybridMultilevel"/>
    <w:tmpl w:val="6C486CCC"/>
    <w:lvl w:ilvl="0" w:tplc="0C090001">
      <w:start w:val="1"/>
      <w:numFmt w:val="bullet"/>
      <w:lvlText w:val=""/>
      <w:lvlJc w:val="left"/>
      <w:pPr>
        <w:ind w:left="360" w:hanging="360"/>
      </w:pPr>
      <w:rPr>
        <w:rFonts w:ascii="Symbol" w:hAnsi="Symbol" w:hint="default"/>
      </w:rPr>
    </w:lvl>
    <w:lvl w:ilvl="1" w:tplc="F146C120">
      <w:start w:val="1"/>
      <w:numFmt w:val="bullet"/>
      <w:lvlText w:val="–"/>
      <w:lvlJc w:val="left"/>
      <w:pPr>
        <w:ind w:left="1080" w:hanging="360"/>
      </w:pPr>
      <w:rPr>
        <w:rFonts w:ascii="Book Antiqua" w:hAnsi="Book Antiqua" w:hint="default"/>
        <w:b w:val="0"/>
        <w:i w:val="0"/>
        <w:color w:val="000000"/>
        <w:sz w:val="22"/>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E2D65B6"/>
    <w:multiLevelType w:val="multilevel"/>
    <w:tmpl w:val="8402A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right"/>
      <w:pPr>
        <w:tabs>
          <w:tab w:val="num" w:pos="2160"/>
        </w:tabs>
        <w:ind w:left="2160" w:hanging="1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EFA1420"/>
    <w:multiLevelType w:val="hybridMultilevel"/>
    <w:tmpl w:val="714CC97A"/>
    <w:lvl w:ilvl="0" w:tplc="A0B6F390">
      <w:start w:val="1"/>
      <w:numFmt w:val="lowerLetter"/>
      <w:lvlText w:val="(%1)"/>
      <w:lvlJc w:val="left"/>
      <w:pPr>
        <w:tabs>
          <w:tab w:val="num" w:pos="397"/>
        </w:tabs>
        <w:ind w:left="397" w:hanging="397"/>
      </w:pPr>
      <w:rPr>
        <w:rFonts w:hint="default"/>
        <w:b w:val="0"/>
        <w:i w:val="0"/>
        <w:color w:val="000000"/>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10831331">
    <w:abstractNumId w:val="42"/>
  </w:num>
  <w:num w:numId="2" w16cid:durableId="963734261">
    <w:abstractNumId w:val="38"/>
  </w:num>
  <w:num w:numId="3" w16cid:durableId="1454516294">
    <w:abstractNumId w:val="42"/>
  </w:num>
  <w:num w:numId="4" w16cid:durableId="1690986999">
    <w:abstractNumId w:val="38"/>
  </w:num>
  <w:num w:numId="5" w16cid:durableId="202837143">
    <w:abstractNumId w:val="12"/>
  </w:num>
  <w:num w:numId="6" w16cid:durableId="640578064">
    <w:abstractNumId w:val="34"/>
  </w:num>
  <w:num w:numId="7" w16cid:durableId="1772579845">
    <w:abstractNumId w:val="11"/>
  </w:num>
  <w:num w:numId="8" w16cid:durableId="1119834713">
    <w:abstractNumId w:val="9"/>
  </w:num>
  <w:num w:numId="9" w16cid:durableId="751777376">
    <w:abstractNumId w:val="7"/>
  </w:num>
  <w:num w:numId="10" w16cid:durableId="798836924">
    <w:abstractNumId w:val="6"/>
  </w:num>
  <w:num w:numId="11" w16cid:durableId="2054846827">
    <w:abstractNumId w:val="5"/>
  </w:num>
  <w:num w:numId="12" w16cid:durableId="679551976">
    <w:abstractNumId w:val="4"/>
  </w:num>
  <w:num w:numId="13" w16cid:durableId="1427923362">
    <w:abstractNumId w:val="8"/>
  </w:num>
  <w:num w:numId="14" w16cid:durableId="647975371">
    <w:abstractNumId w:val="3"/>
  </w:num>
  <w:num w:numId="15" w16cid:durableId="1927107169">
    <w:abstractNumId w:val="2"/>
  </w:num>
  <w:num w:numId="16" w16cid:durableId="1223760609">
    <w:abstractNumId w:val="1"/>
  </w:num>
  <w:num w:numId="17" w16cid:durableId="2102480971">
    <w:abstractNumId w:val="0"/>
  </w:num>
  <w:num w:numId="18" w16cid:durableId="899054751">
    <w:abstractNumId w:val="22"/>
  </w:num>
  <w:num w:numId="19" w16cid:durableId="684207176">
    <w:abstractNumId w:val="32"/>
  </w:num>
  <w:num w:numId="20" w16cid:durableId="609317887">
    <w:abstractNumId w:val="13"/>
  </w:num>
  <w:num w:numId="21" w16cid:durableId="1386300058">
    <w:abstractNumId w:val="15"/>
  </w:num>
  <w:num w:numId="22" w16cid:durableId="1583563173">
    <w:abstractNumId w:val="16"/>
  </w:num>
  <w:num w:numId="23" w16cid:durableId="440340398">
    <w:abstractNumId w:val="33"/>
  </w:num>
  <w:num w:numId="24" w16cid:durableId="811866777">
    <w:abstractNumId w:val="37"/>
  </w:num>
  <w:num w:numId="25" w16cid:durableId="1513838583">
    <w:abstractNumId w:val="23"/>
  </w:num>
  <w:num w:numId="26" w16cid:durableId="1824344850">
    <w:abstractNumId w:val="14"/>
  </w:num>
  <w:num w:numId="27" w16cid:durableId="569191643">
    <w:abstractNumId w:val="26"/>
  </w:num>
  <w:num w:numId="28" w16cid:durableId="1652369100">
    <w:abstractNumId w:val="27"/>
  </w:num>
  <w:num w:numId="29" w16cid:durableId="875855473">
    <w:abstractNumId w:val="39"/>
  </w:num>
  <w:num w:numId="30" w16cid:durableId="125047160">
    <w:abstractNumId w:val="10"/>
  </w:num>
  <w:num w:numId="31" w16cid:durableId="1821312982">
    <w:abstractNumId w:val="40"/>
  </w:num>
  <w:num w:numId="32" w16cid:durableId="156306955">
    <w:abstractNumId w:val="28"/>
  </w:num>
  <w:num w:numId="33" w16cid:durableId="1722945425">
    <w:abstractNumId w:val="18"/>
    <w:lvlOverride w:ilvl="0">
      <w:startOverride w:val="1"/>
    </w:lvlOverride>
  </w:num>
  <w:num w:numId="34" w16cid:durableId="1887522497">
    <w:abstractNumId w:val="36"/>
    <w:lvlOverride w:ilvl="0">
      <w:startOverride w:val="1"/>
    </w:lvlOverride>
  </w:num>
  <w:num w:numId="35" w16cid:durableId="1532911571">
    <w:abstractNumId w:val="21"/>
    <w:lvlOverride w:ilvl="0">
      <w:startOverride w:val="1"/>
    </w:lvlOverride>
  </w:num>
  <w:num w:numId="36" w16cid:durableId="1713963238">
    <w:abstractNumId w:val="41"/>
    <w:lvlOverride w:ilvl="0">
      <w:startOverride w:val="1"/>
    </w:lvlOverride>
  </w:num>
  <w:num w:numId="37" w16cid:durableId="245917850">
    <w:abstractNumId w:val="35"/>
  </w:num>
  <w:num w:numId="38" w16cid:durableId="1853378228">
    <w:abstractNumId w:val="17"/>
  </w:num>
  <w:num w:numId="39" w16cid:durableId="1767114169">
    <w:abstractNumId w:val="25"/>
    <w:lvlOverride w:ilvl="0">
      <w:startOverride w:val="1"/>
    </w:lvlOverride>
  </w:num>
  <w:num w:numId="40" w16cid:durableId="20666931">
    <w:abstractNumId w:val="25"/>
    <w:lvlOverride w:ilvl="0">
      <w:startOverride w:val="1"/>
    </w:lvlOverride>
  </w:num>
  <w:num w:numId="41" w16cid:durableId="1327787631">
    <w:abstractNumId w:val="20"/>
    <w:lvlOverride w:ilvl="0">
      <w:startOverride w:val="1"/>
    </w:lvlOverride>
  </w:num>
  <w:num w:numId="42" w16cid:durableId="1991402661">
    <w:abstractNumId w:val="25"/>
    <w:lvlOverride w:ilvl="0">
      <w:startOverride w:val="1"/>
    </w:lvlOverride>
  </w:num>
  <w:num w:numId="43" w16cid:durableId="58139661">
    <w:abstractNumId w:val="25"/>
    <w:lvlOverride w:ilvl="0">
      <w:startOverride w:val="1"/>
    </w:lvlOverride>
  </w:num>
  <w:num w:numId="44" w16cid:durableId="1281571027">
    <w:abstractNumId w:val="25"/>
    <w:lvlOverride w:ilvl="0">
      <w:startOverride w:val="1"/>
    </w:lvlOverride>
  </w:num>
  <w:num w:numId="45" w16cid:durableId="1897088025">
    <w:abstractNumId w:val="19"/>
  </w:num>
  <w:num w:numId="46" w16cid:durableId="71854748">
    <w:abstractNumId w:val="29"/>
  </w:num>
  <w:num w:numId="47" w16cid:durableId="582955407">
    <w:abstractNumId w:val="24"/>
    <w:lvlOverride w:ilvl="0">
      <w:startOverride w:val="1"/>
    </w:lvlOverride>
  </w:num>
  <w:num w:numId="48" w16cid:durableId="1337687824">
    <w:abstractNumId w:val="31"/>
    <w:lvlOverride w:ilvl="0">
      <w:startOverride w:val="1"/>
    </w:lvlOverride>
  </w:num>
  <w:num w:numId="49" w16cid:durableId="1083768884">
    <w:abstractNumId w:val="31"/>
    <w:lvlOverride w:ilvl="0">
      <w:startOverride w:val="1"/>
    </w:lvlOverride>
  </w:num>
  <w:num w:numId="50" w16cid:durableId="54310020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LockTheme/>
  <w:styleLockQFSet/>
  <w:defaultTabStop w:val="709"/>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mpty"/>
    <w:docVar w:name="EN.InstantFormat" w:val="&lt;ENInstantFormat&gt;&lt;Enabled&gt;1&lt;/Enabled&gt;&lt;ScanUnformatted&gt;1&lt;/ScanUnformatted&gt;&lt;ScanChanges&gt;1&lt;/ScanChanges&gt;&lt;/ENInstantFormat&gt;"/>
    <w:docVar w:name="EN.Layout" w:val="&lt;ENLayout&gt;&lt;Style&gt;AIHW&lt;/Style&gt;&lt;LeftDelim&gt;{&lt;/LeftDelim&gt;&lt;RightDelim&gt;}&lt;/RightDelim&gt;&lt;FontName&gt;Book Antiqua&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2w9zf0sma9dweewvf45evsb2w9dv99wd9d5&quot;&gt;AIHW&lt;record-ids&gt;&lt;item&gt;10226&lt;/item&gt;&lt;/record-ids&gt;&lt;/item&gt;&lt;/Libraries&gt;"/>
  </w:docVars>
  <w:rsids>
    <w:rsidRoot w:val="00E504B8"/>
    <w:rsid w:val="00003348"/>
    <w:rsid w:val="00017E87"/>
    <w:rsid w:val="000201EB"/>
    <w:rsid w:val="00024416"/>
    <w:rsid w:val="00026EE7"/>
    <w:rsid w:val="0003145D"/>
    <w:rsid w:val="000348FD"/>
    <w:rsid w:val="00036C88"/>
    <w:rsid w:val="0004486C"/>
    <w:rsid w:val="000556D8"/>
    <w:rsid w:val="0006497C"/>
    <w:rsid w:val="0007172A"/>
    <w:rsid w:val="000725C2"/>
    <w:rsid w:val="00076860"/>
    <w:rsid w:val="0007737D"/>
    <w:rsid w:val="000829A2"/>
    <w:rsid w:val="00090C7D"/>
    <w:rsid w:val="0009309E"/>
    <w:rsid w:val="00095C81"/>
    <w:rsid w:val="000A4CDC"/>
    <w:rsid w:val="000A6F9D"/>
    <w:rsid w:val="000B2821"/>
    <w:rsid w:val="000B37E4"/>
    <w:rsid w:val="000C5ACA"/>
    <w:rsid w:val="000C60AC"/>
    <w:rsid w:val="000E20A6"/>
    <w:rsid w:val="000E2CA8"/>
    <w:rsid w:val="000E3F6C"/>
    <w:rsid w:val="000E3F97"/>
    <w:rsid w:val="000F16DB"/>
    <w:rsid w:val="000F4B5D"/>
    <w:rsid w:val="001123AC"/>
    <w:rsid w:val="00142B75"/>
    <w:rsid w:val="00161D26"/>
    <w:rsid w:val="00164A42"/>
    <w:rsid w:val="0017201A"/>
    <w:rsid w:val="001928A4"/>
    <w:rsid w:val="001B0A9F"/>
    <w:rsid w:val="001B4BD4"/>
    <w:rsid w:val="001B4DF6"/>
    <w:rsid w:val="001C1AD8"/>
    <w:rsid w:val="001C3FAD"/>
    <w:rsid w:val="001C4873"/>
    <w:rsid w:val="001D2462"/>
    <w:rsid w:val="001E3FA3"/>
    <w:rsid w:val="001F5F41"/>
    <w:rsid w:val="00212B9B"/>
    <w:rsid w:val="00222035"/>
    <w:rsid w:val="00223307"/>
    <w:rsid w:val="00225BC7"/>
    <w:rsid w:val="00232418"/>
    <w:rsid w:val="002613B9"/>
    <w:rsid w:val="00261BCF"/>
    <w:rsid w:val="00263946"/>
    <w:rsid w:val="00265D85"/>
    <w:rsid w:val="002678D1"/>
    <w:rsid w:val="00267E86"/>
    <w:rsid w:val="00275F22"/>
    <w:rsid w:val="00276367"/>
    <w:rsid w:val="00277622"/>
    <w:rsid w:val="00283544"/>
    <w:rsid w:val="00290F75"/>
    <w:rsid w:val="002925FA"/>
    <w:rsid w:val="00293F9E"/>
    <w:rsid w:val="002A0668"/>
    <w:rsid w:val="002A18D9"/>
    <w:rsid w:val="002A621F"/>
    <w:rsid w:val="002B3E26"/>
    <w:rsid w:val="002F27AA"/>
    <w:rsid w:val="002F37F6"/>
    <w:rsid w:val="00302AD2"/>
    <w:rsid w:val="003147BD"/>
    <w:rsid w:val="00314C48"/>
    <w:rsid w:val="003164BF"/>
    <w:rsid w:val="003335C4"/>
    <w:rsid w:val="003342B3"/>
    <w:rsid w:val="0033783A"/>
    <w:rsid w:val="00343BF0"/>
    <w:rsid w:val="003610FF"/>
    <w:rsid w:val="003621B4"/>
    <w:rsid w:val="003723A7"/>
    <w:rsid w:val="00374154"/>
    <w:rsid w:val="00376170"/>
    <w:rsid w:val="00380342"/>
    <w:rsid w:val="0038101F"/>
    <w:rsid w:val="00395A96"/>
    <w:rsid w:val="003B637B"/>
    <w:rsid w:val="003B7768"/>
    <w:rsid w:val="004018E8"/>
    <w:rsid w:val="0040782E"/>
    <w:rsid w:val="00425E13"/>
    <w:rsid w:val="004272DC"/>
    <w:rsid w:val="00437154"/>
    <w:rsid w:val="00437CDF"/>
    <w:rsid w:val="00440A95"/>
    <w:rsid w:val="004548EC"/>
    <w:rsid w:val="00466888"/>
    <w:rsid w:val="004734FE"/>
    <w:rsid w:val="004739A5"/>
    <w:rsid w:val="00481A2F"/>
    <w:rsid w:val="0048321D"/>
    <w:rsid w:val="00485B51"/>
    <w:rsid w:val="004920CB"/>
    <w:rsid w:val="00493C5F"/>
    <w:rsid w:val="00494196"/>
    <w:rsid w:val="00495E88"/>
    <w:rsid w:val="004A40F4"/>
    <w:rsid w:val="004C444B"/>
    <w:rsid w:val="004C5779"/>
    <w:rsid w:val="004D727D"/>
    <w:rsid w:val="004E250D"/>
    <w:rsid w:val="004F2806"/>
    <w:rsid w:val="004F4EDB"/>
    <w:rsid w:val="0050357C"/>
    <w:rsid w:val="00511620"/>
    <w:rsid w:val="00520000"/>
    <w:rsid w:val="005344C6"/>
    <w:rsid w:val="00534D67"/>
    <w:rsid w:val="00543965"/>
    <w:rsid w:val="005505CD"/>
    <w:rsid w:val="00551B21"/>
    <w:rsid w:val="00553DA5"/>
    <w:rsid w:val="0057234A"/>
    <w:rsid w:val="00581701"/>
    <w:rsid w:val="00581F7D"/>
    <w:rsid w:val="0058565E"/>
    <w:rsid w:val="00591C25"/>
    <w:rsid w:val="005924B2"/>
    <w:rsid w:val="00596D3B"/>
    <w:rsid w:val="0059714D"/>
    <w:rsid w:val="005A2363"/>
    <w:rsid w:val="005A73FF"/>
    <w:rsid w:val="005D5A2D"/>
    <w:rsid w:val="005E3B19"/>
    <w:rsid w:val="005E5A15"/>
    <w:rsid w:val="00633B21"/>
    <w:rsid w:val="006376DE"/>
    <w:rsid w:val="00660014"/>
    <w:rsid w:val="006633F6"/>
    <w:rsid w:val="006678CF"/>
    <w:rsid w:val="00677E6A"/>
    <w:rsid w:val="0068326A"/>
    <w:rsid w:val="00684D62"/>
    <w:rsid w:val="00695D95"/>
    <w:rsid w:val="00696CF0"/>
    <w:rsid w:val="006A53E6"/>
    <w:rsid w:val="006A783E"/>
    <w:rsid w:val="006B4284"/>
    <w:rsid w:val="006B7411"/>
    <w:rsid w:val="006C04CC"/>
    <w:rsid w:val="006D0C92"/>
    <w:rsid w:val="006D0DC3"/>
    <w:rsid w:val="006D18E3"/>
    <w:rsid w:val="006D4A12"/>
    <w:rsid w:val="006E4B28"/>
    <w:rsid w:val="006E6760"/>
    <w:rsid w:val="006F67B7"/>
    <w:rsid w:val="0070420B"/>
    <w:rsid w:val="007245C2"/>
    <w:rsid w:val="00742038"/>
    <w:rsid w:val="007429F2"/>
    <w:rsid w:val="00745D4D"/>
    <w:rsid w:val="00755B71"/>
    <w:rsid w:val="00761F8E"/>
    <w:rsid w:val="00782498"/>
    <w:rsid w:val="007B7B80"/>
    <w:rsid w:val="007C08B5"/>
    <w:rsid w:val="007C26A4"/>
    <w:rsid w:val="007C75A1"/>
    <w:rsid w:val="007E627E"/>
    <w:rsid w:val="00840733"/>
    <w:rsid w:val="008439B1"/>
    <w:rsid w:val="00852C77"/>
    <w:rsid w:val="00855EF5"/>
    <w:rsid w:val="008623DD"/>
    <w:rsid w:val="0086346C"/>
    <w:rsid w:val="008640EF"/>
    <w:rsid w:val="00867C9F"/>
    <w:rsid w:val="0088194D"/>
    <w:rsid w:val="00882DBC"/>
    <w:rsid w:val="0088346D"/>
    <w:rsid w:val="00884885"/>
    <w:rsid w:val="00886170"/>
    <w:rsid w:val="00887365"/>
    <w:rsid w:val="008E579B"/>
    <w:rsid w:val="008E7A86"/>
    <w:rsid w:val="008F7A00"/>
    <w:rsid w:val="00900037"/>
    <w:rsid w:val="0090252C"/>
    <w:rsid w:val="00902A3C"/>
    <w:rsid w:val="00903DEC"/>
    <w:rsid w:val="0091651A"/>
    <w:rsid w:val="0092010A"/>
    <w:rsid w:val="00922558"/>
    <w:rsid w:val="00953F15"/>
    <w:rsid w:val="00957421"/>
    <w:rsid w:val="00962872"/>
    <w:rsid w:val="00963773"/>
    <w:rsid w:val="00963F22"/>
    <w:rsid w:val="0096503C"/>
    <w:rsid w:val="009815AA"/>
    <w:rsid w:val="00981EDC"/>
    <w:rsid w:val="0098660E"/>
    <w:rsid w:val="00987FF6"/>
    <w:rsid w:val="009921E5"/>
    <w:rsid w:val="00993976"/>
    <w:rsid w:val="009A17BE"/>
    <w:rsid w:val="009A27F7"/>
    <w:rsid w:val="009B2765"/>
    <w:rsid w:val="009E13B7"/>
    <w:rsid w:val="009E38EF"/>
    <w:rsid w:val="009F651A"/>
    <w:rsid w:val="009F7B3A"/>
    <w:rsid w:val="00A13322"/>
    <w:rsid w:val="00A22261"/>
    <w:rsid w:val="00A22385"/>
    <w:rsid w:val="00A231A5"/>
    <w:rsid w:val="00A30A53"/>
    <w:rsid w:val="00A462E9"/>
    <w:rsid w:val="00A47329"/>
    <w:rsid w:val="00A534C6"/>
    <w:rsid w:val="00A539DD"/>
    <w:rsid w:val="00A562C0"/>
    <w:rsid w:val="00A66CCF"/>
    <w:rsid w:val="00A9206D"/>
    <w:rsid w:val="00A94F6E"/>
    <w:rsid w:val="00AA00B1"/>
    <w:rsid w:val="00AB718C"/>
    <w:rsid w:val="00AC65F1"/>
    <w:rsid w:val="00AD044E"/>
    <w:rsid w:val="00AD7CD9"/>
    <w:rsid w:val="00B07417"/>
    <w:rsid w:val="00B13FA8"/>
    <w:rsid w:val="00B25354"/>
    <w:rsid w:val="00B2640B"/>
    <w:rsid w:val="00B30998"/>
    <w:rsid w:val="00B321FB"/>
    <w:rsid w:val="00B3253A"/>
    <w:rsid w:val="00B61BE0"/>
    <w:rsid w:val="00B62F5E"/>
    <w:rsid w:val="00B63AF9"/>
    <w:rsid w:val="00B66355"/>
    <w:rsid w:val="00B748EC"/>
    <w:rsid w:val="00B74E30"/>
    <w:rsid w:val="00B82043"/>
    <w:rsid w:val="00B825C3"/>
    <w:rsid w:val="00B85B20"/>
    <w:rsid w:val="00BB0FA7"/>
    <w:rsid w:val="00BC3DD5"/>
    <w:rsid w:val="00BD0686"/>
    <w:rsid w:val="00BD4883"/>
    <w:rsid w:val="00BE19E3"/>
    <w:rsid w:val="00BE6005"/>
    <w:rsid w:val="00BF36ED"/>
    <w:rsid w:val="00BF6CF5"/>
    <w:rsid w:val="00C00A5C"/>
    <w:rsid w:val="00C032DB"/>
    <w:rsid w:val="00C048C1"/>
    <w:rsid w:val="00C15A7A"/>
    <w:rsid w:val="00C160EB"/>
    <w:rsid w:val="00C20604"/>
    <w:rsid w:val="00C34CCF"/>
    <w:rsid w:val="00C42A4F"/>
    <w:rsid w:val="00C4579B"/>
    <w:rsid w:val="00C4680F"/>
    <w:rsid w:val="00C46B49"/>
    <w:rsid w:val="00C478A0"/>
    <w:rsid w:val="00C5166B"/>
    <w:rsid w:val="00C63B3B"/>
    <w:rsid w:val="00C911D7"/>
    <w:rsid w:val="00CD0B1E"/>
    <w:rsid w:val="00CD1D61"/>
    <w:rsid w:val="00CD777B"/>
    <w:rsid w:val="00CE0143"/>
    <w:rsid w:val="00CE4E3E"/>
    <w:rsid w:val="00CE566B"/>
    <w:rsid w:val="00CE7641"/>
    <w:rsid w:val="00CF293D"/>
    <w:rsid w:val="00CF55E3"/>
    <w:rsid w:val="00CF7A64"/>
    <w:rsid w:val="00D01233"/>
    <w:rsid w:val="00D23BEE"/>
    <w:rsid w:val="00D27CEC"/>
    <w:rsid w:val="00D30F75"/>
    <w:rsid w:val="00D41476"/>
    <w:rsid w:val="00D461B8"/>
    <w:rsid w:val="00D63920"/>
    <w:rsid w:val="00D71F50"/>
    <w:rsid w:val="00D72783"/>
    <w:rsid w:val="00D72C04"/>
    <w:rsid w:val="00DA43C9"/>
    <w:rsid w:val="00DA7E6E"/>
    <w:rsid w:val="00DB645A"/>
    <w:rsid w:val="00DC78FB"/>
    <w:rsid w:val="00DD6546"/>
    <w:rsid w:val="00DE5AE9"/>
    <w:rsid w:val="00DF59C8"/>
    <w:rsid w:val="00E03F2F"/>
    <w:rsid w:val="00E044DF"/>
    <w:rsid w:val="00E06D9C"/>
    <w:rsid w:val="00E07408"/>
    <w:rsid w:val="00E15A87"/>
    <w:rsid w:val="00E25101"/>
    <w:rsid w:val="00E32587"/>
    <w:rsid w:val="00E3784F"/>
    <w:rsid w:val="00E404C6"/>
    <w:rsid w:val="00E44983"/>
    <w:rsid w:val="00E504B8"/>
    <w:rsid w:val="00E50969"/>
    <w:rsid w:val="00E52E01"/>
    <w:rsid w:val="00E5610E"/>
    <w:rsid w:val="00E84BAD"/>
    <w:rsid w:val="00E851D6"/>
    <w:rsid w:val="00E909A5"/>
    <w:rsid w:val="00EA2676"/>
    <w:rsid w:val="00EA40EA"/>
    <w:rsid w:val="00EA5C10"/>
    <w:rsid w:val="00EA6343"/>
    <w:rsid w:val="00EA7BC0"/>
    <w:rsid w:val="00EB453A"/>
    <w:rsid w:val="00ED7F8B"/>
    <w:rsid w:val="00EE53F2"/>
    <w:rsid w:val="00F04EC2"/>
    <w:rsid w:val="00F269A8"/>
    <w:rsid w:val="00F44D0A"/>
    <w:rsid w:val="00F46AD0"/>
    <w:rsid w:val="00F5188A"/>
    <w:rsid w:val="00F5619A"/>
    <w:rsid w:val="00F72FB9"/>
    <w:rsid w:val="00F776C8"/>
    <w:rsid w:val="00F84941"/>
    <w:rsid w:val="00F85F48"/>
    <w:rsid w:val="00FA3E15"/>
    <w:rsid w:val="00FB7630"/>
    <w:rsid w:val="00FC2B9A"/>
    <w:rsid w:val="00FC4ABC"/>
    <w:rsid w:val="00FC5F5C"/>
    <w:rsid w:val="00FD04ED"/>
    <w:rsid w:val="00FD3416"/>
    <w:rsid w:val="00FE042C"/>
    <w:rsid w:val="00FE25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D3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imes New Roman" w:hAnsi="Book Antiqu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locked="1" w:semiHidden="1" w:unhideWhenUsed="1"/>
    <w:lsdException w:name="heading 8" w:locked="1" w:semiHidden="1" w:unhideWhenUsed="1" w:qFormat="1"/>
    <w:lsdException w:name="heading 9" w:locked="1" w:semiHidden="1" w:unhideWhenUsed="1"/>
    <w:lsdException w:name="index 1" w:semiHidden="1" w:uiPriority="19" w:unhideWhenUsed="1"/>
    <w:lsdException w:name="index 2" w:semiHidden="1" w:uiPriority="19" w:unhideWhenUsed="1"/>
    <w:lsdException w:name="index 3" w:semiHidden="1" w:uiPriority="19" w:unhideWhenUsed="1"/>
    <w:lsdException w:name="index 4" w:semiHidden="1" w:uiPriority="19" w:unhideWhenUsed="1"/>
    <w:lsdException w:name="index 5" w:semiHidden="1" w:uiPriority="19" w:unhideWhenUsed="1"/>
    <w:lsdException w:name="index 6" w:semiHidden="1" w:uiPriority="19" w:unhideWhenUsed="1"/>
    <w:lsdException w:name="index 7" w:semiHidden="1" w:uiPriority="19" w:unhideWhenUsed="1"/>
    <w:lsdException w:name="index 8" w:semiHidden="1" w:uiPriority="19" w:unhideWhenUsed="1"/>
    <w:lsdException w:name="index 9" w:semiHidden="1" w:uiPriority="1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13"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IHWbodytext"/>
    <w:uiPriority w:val="19"/>
    <w:unhideWhenUsed/>
    <w:qFormat/>
    <w:rsid w:val="00E851D6"/>
    <w:pPr>
      <w:spacing w:before="60" w:after="120" w:line="260" w:lineRule="atLeast"/>
    </w:pPr>
    <w:rPr>
      <w:rFonts w:ascii="Arial" w:hAnsi="Arial"/>
      <w:sz w:val="22"/>
      <w:szCs w:val="22"/>
    </w:rPr>
  </w:style>
  <w:style w:type="paragraph" w:styleId="Heading1">
    <w:name w:val="heading 1"/>
    <w:next w:val="Heading2"/>
    <w:link w:val="Heading1Char"/>
    <w:uiPriority w:val="1"/>
    <w:qFormat/>
    <w:rsid w:val="00265D85"/>
    <w:pPr>
      <w:keepNext/>
      <w:keepLines/>
      <w:pageBreakBefore/>
      <w:tabs>
        <w:tab w:val="left" w:pos="794"/>
        <w:tab w:val="left" w:pos="1191"/>
        <w:tab w:val="left" w:pos="2778"/>
      </w:tabs>
      <w:spacing w:before="60" w:after="360" w:line="480" w:lineRule="atLeast"/>
      <w:outlineLvl w:val="0"/>
    </w:pPr>
    <w:rPr>
      <w:rFonts w:ascii="Arial" w:hAnsi="Arial"/>
      <w:b/>
      <w:color w:val="000000"/>
      <w:sz w:val="44"/>
      <w:szCs w:val="22"/>
      <w:lang w:eastAsia="en-US"/>
    </w:rPr>
  </w:style>
  <w:style w:type="paragraph" w:styleId="Heading2">
    <w:name w:val="heading 2"/>
    <w:basedOn w:val="Heading1"/>
    <w:next w:val="AIHWbodytext"/>
    <w:link w:val="Heading2Char"/>
    <w:uiPriority w:val="1"/>
    <w:qFormat/>
    <w:rsid w:val="00BE6005"/>
    <w:pPr>
      <w:pageBreakBefore w:val="0"/>
      <w:spacing w:before="300" w:after="120" w:line="440" w:lineRule="atLeast"/>
      <w:outlineLvl w:val="1"/>
    </w:pPr>
    <w:rPr>
      <w:sz w:val="36"/>
    </w:rPr>
  </w:style>
  <w:style w:type="paragraph" w:styleId="Heading3">
    <w:name w:val="heading 3"/>
    <w:basedOn w:val="Heading2"/>
    <w:next w:val="AIHWbodytext"/>
    <w:link w:val="Heading3Char"/>
    <w:uiPriority w:val="1"/>
    <w:qFormat/>
    <w:rsid w:val="00BE6005"/>
    <w:pPr>
      <w:spacing w:line="320" w:lineRule="atLeast"/>
      <w:outlineLvl w:val="2"/>
    </w:pPr>
    <w:rPr>
      <w:sz w:val="28"/>
    </w:rPr>
  </w:style>
  <w:style w:type="paragraph" w:styleId="Heading4">
    <w:name w:val="heading 4"/>
    <w:basedOn w:val="Heading3"/>
    <w:next w:val="AIHWbodytext"/>
    <w:link w:val="Heading4Char"/>
    <w:uiPriority w:val="1"/>
    <w:qFormat/>
    <w:rsid w:val="003621B4"/>
    <w:pPr>
      <w:spacing w:before="240" w:after="80" w:line="280" w:lineRule="atLeast"/>
      <w:outlineLvl w:val="3"/>
    </w:pPr>
    <w:rPr>
      <w:sz w:val="24"/>
    </w:rPr>
  </w:style>
  <w:style w:type="paragraph" w:styleId="Heading5">
    <w:name w:val="heading 5"/>
    <w:basedOn w:val="Heading4"/>
    <w:next w:val="AIHWbodytext"/>
    <w:link w:val="Heading5Char"/>
    <w:uiPriority w:val="1"/>
    <w:qFormat/>
    <w:rsid w:val="00E851D6"/>
    <w:pPr>
      <w:spacing w:before="180" w:after="40" w:line="260" w:lineRule="atLeast"/>
      <w:outlineLvl w:val="4"/>
    </w:pPr>
    <w:rPr>
      <w:sz w:val="22"/>
    </w:rPr>
  </w:style>
  <w:style w:type="paragraph" w:styleId="Heading6">
    <w:name w:val="heading 6"/>
    <w:basedOn w:val="Heading5"/>
    <w:next w:val="AIHWbodytext"/>
    <w:link w:val="Heading6Char"/>
    <w:uiPriority w:val="1"/>
    <w:qFormat/>
    <w:rsid w:val="003621B4"/>
    <w:pPr>
      <w:spacing w:before="120"/>
      <w:outlineLvl w:val="5"/>
    </w:pPr>
    <w:rPr>
      <w:b w:val="0"/>
      <w:i/>
    </w:rPr>
  </w:style>
  <w:style w:type="paragraph" w:styleId="Heading7">
    <w:name w:val="heading 7"/>
    <w:basedOn w:val="Normal"/>
    <w:next w:val="Normal"/>
    <w:semiHidden/>
    <w:locked/>
    <w:rsid w:val="003B637B"/>
    <w:pPr>
      <w:spacing w:before="240" w:after="60"/>
      <w:outlineLvl w:val="6"/>
    </w:pPr>
    <w:rPr>
      <w:rFonts w:ascii="Times New Roman" w:hAnsi="Times New Roman"/>
      <w:sz w:val="24"/>
    </w:rPr>
  </w:style>
  <w:style w:type="paragraph" w:styleId="Heading8">
    <w:name w:val="heading 8"/>
    <w:basedOn w:val="Normal"/>
    <w:next w:val="Normal"/>
    <w:semiHidden/>
    <w:qFormat/>
    <w:locked/>
    <w:rsid w:val="003B637B"/>
    <w:pPr>
      <w:spacing w:before="240" w:after="60"/>
      <w:outlineLvl w:val="7"/>
    </w:pPr>
    <w:rPr>
      <w:rFonts w:ascii="Times New Roman" w:hAnsi="Times New Roman"/>
      <w:i/>
      <w:iCs/>
      <w:sz w:val="24"/>
    </w:rPr>
  </w:style>
  <w:style w:type="paragraph" w:styleId="Heading9">
    <w:name w:val="heading 9"/>
    <w:basedOn w:val="Normal"/>
    <w:next w:val="Normal"/>
    <w:semiHidden/>
    <w:locked/>
    <w:rsid w:val="003B637B"/>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HWbodytext">
    <w:name w:val="AIHW body text"/>
    <w:basedOn w:val="Normal"/>
    <w:link w:val="AIHWbodytextChar"/>
    <w:qFormat/>
    <w:rsid w:val="00E851D6"/>
    <w:rPr>
      <w:szCs w:val="20"/>
      <w:lang w:eastAsia="en-US"/>
    </w:rPr>
  </w:style>
  <w:style w:type="paragraph" w:customStyle="1" w:styleId="Bullet1">
    <w:name w:val="Bullet 1"/>
    <w:basedOn w:val="AIHWbodytext"/>
    <w:uiPriority w:val="2"/>
    <w:qFormat/>
    <w:rsid w:val="00D30F75"/>
    <w:pPr>
      <w:spacing w:before="40" w:after="80"/>
    </w:pPr>
  </w:style>
  <w:style w:type="paragraph" w:customStyle="1" w:styleId="Bullet2">
    <w:name w:val="Bullet 2"/>
    <w:basedOn w:val="Bullet1"/>
    <w:uiPriority w:val="2"/>
    <w:qFormat/>
    <w:rsid w:val="0033783A"/>
  </w:style>
  <w:style w:type="character" w:styleId="PageNumber">
    <w:name w:val="page number"/>
    <w:uiPriority w:val="14"/>
    <w:unhideWhenUsed/>
    <w:rsid w:val="00026EE7"/>
    <w:rPr>
      <w:rFonts w:ascii="Arial" w:hAnsi="Arial"/>
      <w:dstrike w:val="0"/>
      <w:color w:val="000000"/>
      <w:sz w:val="20"/>
      <w:u w:val="none"/>
      <w:vertAlign w:val="baseline"/>
    </w:rPr>
  </w:style>
  <w:style w:type="paragraph" w:customStyle="1" w:styleId="BoxHeading2">
    <w:name w:val="Box: Heading 2"/>
    <w:basedOn w:val="BoxText"/>
    <w:next w:val="BoxText"/>
    <w:uiPriority w:val="3"/>
    <w:qFormat/>
    <w:rsid w:val="00BE6005"/>
    <w:pPr>
      <w:spacing w:before="120" w:after="60"/>
    </w:pPr>
    <w:rPr>
      <w:b/>
    </w:rPr>
  </w:style>
  <w:style w:type="table" w:customStyle="1" w:styleId="AIHWTable">
    <w:name w:val="AIHW Table"/>
    <w:basedOn w:val="TableNormal"/>
    <w:rsid w:val="000F4B5D"/>
    <w:pPr>
      <w:tabs>
        <w:tab w:val="left" w:pos="198"/>
      </w:tabs>
      <w:spacing w:after="60" w:line="200" w:lineRule="atLeast"/>
      <w:jc w:val="right"/>
    </w:pPr>
    <w:rPr>
      <w:rFonts w:ascii="Arial" w:hAnsi="Arial"/>
      <w:color w:val="000000"/>
      <w:sz w:val="16"/>
    </w:rPr>
    <w:tblPr>
      <w:tblBorders>
        <w:top w:val="single" w:sz="4" w:space="0" w:color="000000"/>
        <w:bottom w:val="single" w:sz="4" w:space="0" w:color="000000"/>
      </w:tblBorders>
      <w:tblCellMar>
        <w:left w:w="85" w:type="dxa"/>
        <w:right w:w="85" w:type="dxa"/>
      </w:tblCellMar>
    </w:tblPr>
    <w:tcPr>
      <w:shd w:val="clear" w:color="auto" w:fill="auto"/>
      <w:vAlign w:val="bottom"/>
    </w:tcPr>
    <w:tblStylePr w:type="firstRow">
      <w:rPr>
        <w:rFonts w:ascii="Arial" w:hAnsi="Arial"/>
        <w:b/>
        <w:i w:val="0"/>
        <w:caps w:val="0"/>
        <w:smallCaps w:val="0"/>
        <w:strike w:val="0"/>
        <w:dstrike w:val="0"/>
        <w:vanish w:val="0"/>
        <w:color w:val="000000"/>
        <w:sz w:val="16"/>
      </w:rPr>
      <w:tblPr/>
      <w:tcPr>
        <w:tcBorders>
          <w:top w:val="single" w:sz="4" w:space="0" w:color="000000"/>
          <w:left w:val="nil"/>
          <w:bottom w:val="single" w:sz="4" w:space="0" w:color="000000"/>
          <w:right w:val="nil"/>
          <w:insideH w:val="nil"/>
          <w:insideV w:val="nil"/>
          <w:tl2br w:val="nil"/>
          <w:tr2bl w:val="nil"/>
        </w:tcBorders>
      </w:tcPr>
    </w:tblStylePr>
    <w:tblStylePr w:type="firstCol">
      <w:pPr>
        <w:wordWrap/>
        <w:jc w:val="left"/>
      </w:pPr>
    </w:tblStylePr>
  </w:style>
  <w:style w:type="paragraph" w:customStyle="1" w:styleId="TableFigText">
    <w:name w:val="Table/Fig: Text"/>
    <w:basedOn w:val="AIHWbodytext"/>
    <w:link w:val="TableFigTextChar"/>
    <w:uiPriority w:val="6"/>
    <w:rsid w:val="0098660E"/>
    <w:pPr>
      <w:keepLines/>
      <w:tabs>
        <w:tab w:val="left" w:pos="198"/>
      </w:tabs>
      <w:spacing w:after="60" w:line="200" w:lineRule="atLeast"/>
    </w:pPr>
    <w:rPr>
      <w:sz w:val="16"/>
    </w:rPr>
  </w:style>
  <w:style w:type="table" w:styleId="LightShading">
    <w:name w:val="Light Shading"/>
    <w:basedOn w:val="TableNormal"/>
    <w:uiPriority w:val="60"/>
    <w:locked/>
    <w:rsid w:val="00F5188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erChar">
    <w:name w:val="Header Char"/>
    <w:link w:val="Header"/>
    <w:uiPriority w:val="99"/>
    <w:rsid w:val="00232418"/>
    <w:rPr>
      <w:sz w:val="22"/>
      <w:szCs w:val="22"/>
    </w:rPr>
  </w:style>
  <w:style w:type="paragraph" w:styleId="EndnoteText">
    <w:name w:val="endnote text"/>
    <w:basedOn w:val="Normal"/>
    <w:link w:val="EndnoteTextChar"/>
    <w:uiPriority w:val="12"/>
    <w:semiHidden/>
    <w:unhideWhenUsed/>
    <w:rsid w:val="00F5188A"/>
    <w:rPr>
      <w:sz w:val="20"/>
      <w:szCs w:val="20"/>
    </w:rPr>
  </w:style>
  <w:style w:type="character" w:customStyle="1" w:styleId="EndnoteTextChar">
    <w:name w:val="Endnote Text Char"/>
    <w:link w:val="EndnoteText"/>
    <w:uiPriority w:val="12"/>
    <w:semiHidden/>
    <w:rsid w:val="00CD1D61"/>
  </w:style>
  <w:style w:type="character" w:styleId="EndnoteReference">
    <w:name w:val="endnote reference"/>
    <w:uiPriority w:val="12"/>
    <w:semiHidden/>
    <w:unhideWhenUsed/>
    <w:rsid w:val="00F5188A"/>
    <w:rPr>
      <w:vertAlign w:val="superscript"/>
    </w:rPr>
  </w:style>
  <w:style w:type="paragraph" w:customStyle="1" w:styleId="BoxText">
    <w:name w:val="Box: Text"/>
    <w:basedOn w:val="AIHWbodytext"/>
    <w:next w:val="AIHWbodytext"/>
    <w:link w:val="BoxTextChar"/>
    <w:uiPriority w:val="3"/>
    <w:qFormat/>
    <w:rsid w:val="00E06D9C"/>
    <w:pPr>
      <w:pBdr>
        <w:top w:val="single" w:sz="4" w:space="10" w:color="000000"/>
        <w:left w:val="single" w:sz="4" w:space="10" w:color="000000"/>
        <w:bottom w:val="single" w:sz="4" w:space="10" w:color="000000"/>
        <w:right w:val="single" w:sz="4" w:space="10" w:color="000000"/>
      </w:pBdr>
      <w:tabs>
        <w:tab w:val="left" w:pos="397"/>
      </w:tabs>
      <w:spacing w:after="20" w:line="240" w:lineRule="atLeast"/>
      <w:ind w:left="255" w:right="255"/>
    </w:pPr>
    <w:rPr>
      <w:sz w:val="21"/>
    </w:rPr>
  </w:style>
  <w:style w:type="paragraph" w:customStyle="1" w:styleId="BoxBullet1">
    <w:name w:val="Box: Bullet 1"/>
    <w:basedOn w:val="BoxText"/>
    <w:uiPriority w:val="3"/>
    <w:qFormat/>
    <w:rsid w:val="00EA6343"/>
    <w:pPr>
      <w:numPr>
        <w:numId w:val="25"/>
      </w:numPr>
      <w:tabs>
        <w:tab w:val="clear" w:pos="397"/>
        <w:tab w:val="clear" w:pos="964"/>
        <w:tab w:val="num" w:pos="714"/>
      </w:tabs>
      <w:ind w:left="709" w:hanging="454"/>
    </w:pPr>
  </w:style>
  <w:style w:type="paragraph" w:customStyle="1" w:styleId="BoxHeading1">
    <w:name w:val="Box: Heading 1"/>
    <w:basedOn w:val="BoxText"/>
    <w:next w:val="BoxText"/>
    <w:uiPriority w:val="3"/>
    <w:qFormat/>
    <w:rsid w:val="008E579B"/>
    <w:pPr>
      <w:keepNext/>
      <w:keepLines/>
      <w:tabs>
        <w:tab w:val="clear" w:pos="397"/>
      </w:tabs>
      <w:spacing w:before="120" w:after="60"/>
    </w:pPr>
    <w:rPr>
      <w:b/>
      <w:sz w:val="22"/>
    </w:rPr>
  </w:style>
  <w:style w:type="paragraph" w:customStyle="1" w:styleId="FigureCaption">
    <w:name w:val="Figure: Caption"/>
    <w:basedOn w:val="TableCaption"/>
    <w:next w:val="AIHWbodytext"/>
    <w:uiPriority w:val="5"/>
    <w:rsid w:val="00B2640B"/>
    <w:pPr>
      <w:spacing w:before="120"/>
    </w:pPr>
  </w:style>
  <w:style w:type="paragraph" w:customStyle="1" w:styleId="FigureSourcefootnotes">
    <w:name w:val="Figure: Source &amp; footnotes"/>
    <w:basedOn w:val="TableSourcefootnotes"/>
    <w:next w:val="FigureCaption"/>
    <w:uiPriority w:val="5"/>
    <w:rsid w:val="003164BF"/>
  </w:style>
  <w:style w:type="character" w:styleId="FootnoteReference">
    <w:name w:val="footnote reference"/>
    <w:uiPriority w:val="21"/>
    <w:unhideWhenUsed/>
    <w:rsid w:val="004734FE"/>
    <w:rPr>
      <w:dstrike w:val="0"/>
      <w:vertAlign w:val="superscript"/>
    </w:rPr>
  </w:style>
  <w:style w:type="paragraph" w:styleId="FootnoteText">
    <w:name w:val="footnote text"/>
    <w:basedOn w:val="AIHWbodytext"/>
    <w:uiPriority w:val="21"/>
    <w:unhideWhenUsed/>
    <w:rsid w:val="004734FE"/>
    <w:pPr>
      <w:spacing w:after="20" w:line="220" w:lineRule="atLeast"/>
      <w:ind w:left="397" w:hanging="397"/>
    </w:pPr>
    <w:rPr>
      <w:sz w:val="18"/>
    </w:rPr>
  </w:style>
  <w:style w:type="paragraph" w:customStyle="1" w:styleId="IndentedQuotes">
    <w:name w:val="Indented: Quotes"/>
    <w:aliases w:val="etc."/>
    <w:basedOn w:val="AIHWbodytext"/>
    <w:next w:val="AIHWbodytext"/>
    <w:uiPriority w:val="4"/>
    <w:qFormat/>
    <w:rsid w:val="004734FE"/>
    <w:pPr>
      <w:spacing w:before="40"/>
      <w:ind w:left="397"/>
    </w:pPr>
  </w:style>
  <w:style w:type="paragraph" w:customStyle="1" w:styleId="TableFigSubtotal">
    <w:name w:val="Table/Fig: Subtotal"/>
    <w:basedOn w:val="TableFigText"/>
    <w:next w:val="TableFigText"/>
    <w:uiPriority w:val="6"/>
    <w:rsid w:val="004734FE"/>
    <w:rPr>
      <w:i/>
    </w:rPr>
  </w:style>
  <w:style w:type="paragraph" w:customStyle="1" w:styleId="TableCaption">
    <w:name w:val="Table: Caption"/>
    <w:basedOn w:val="AIHWbodytext"/>
    <w:next w:val="TableFigHeadingtotal"/>
    <w:uiPriority w:val="5"/>
    <w:rsid w:val="00BE6005"/>
    <w:pPr>
      <w:keepNext/>
      <w:keepLines/>
      <w:spacing w:before="240" w:line="240" w:lineRule="atLeast"/>
    </w:pPr>
    <w:rPr>
      <w:b/>
      <w:sz w:val="20"/>
    </w:rPr>
  </w:style>
  <w:style w:type="paragraph" w:styleId="TOC1">
    <w:name w:val="toc 1"/>
    <w:basedOn w:val="AIHWbodytext"/>
    <w:next w:val="TOC2"/>
    <w:uiPriority w:val="9"/>
    <w:unhideWhenUsed/>
    <w:rsid w:val="004734FE"/>
    <w:pPr>
      <w:keepNext/>
      <w:keepLines/>
      <w:tabs>
        <w:tab w:val="left" w:pos="397"/>
        <w:tab w:val="right" w:leader="dot" w:pos="9072"/>
      </w:tabs>
      <w:spacing w:before="80"/>
      <w:ind w:left="397" w:hanging="397"/>
    </w:pPr>
    <w:rPr>
      <w:b/>
    </w:rPr>
  </w:style>
  <w:style w:type="paragraph" w:styleId="TOC2">
    <w:name w:val="toc 2"/>
    <w:basedOn w:val="TOC1"/>
    <w:uiPriority w:val="9"/>
    <w:unhideWhenUsed/>
    <w:rsid w:val="004734FE"/>
    <w:pPr>
      <w:tabs>
        <w:tab w:val="clear" w:pos="397"/>
        <w:tab w:val="left" w:pos="794"/>
      </w:tabs>
      <w:spacing w:before="40"/>
      <w:ind w:left="794"/>
    </w:pPr>
    <w:rPr>
      <w:b w:val="0"/>
    </w:rPr>
  </w:style>
  <w:style w:type="paragraph" w:styleId="TOC3">
    <w:name w:val="toc 3"/>
    <w:basedOn w:val="TOC2"/>
    <w:uiPriority w:val="9"/>
    <w:unhideWhenUsed/>
    <w:rsid w:val="004734FE"/>
    <w:pPr>
      <w:tabs>
        <w:tab w:val="clear" w:pos="794"/>
        <w:tab w:val="left" w:pos="1389"/>
      </w:tabs>
      <w:ind w:left="1389" w:hanging="595"/>
    </w:pPr>
  </w:style>
  <w:style w:type="paragraph" w:customStyle="1" w:styleId="TableSourcefootnotes">
    <w:name w:val="Table: Source &amp; footnotes"/>
    <w:basedOn w:val="AIHWbodytext"/>
    <w:next w:val="AIHWbodytext"/>
    <w:uiPriority w:val="5"/>
    <w:rsid w:val="003164BF"/>
    <w:pPr>
      <w:keepLines/>
      <w:tabs>
        <w:tab w:val="left" w:pos="397"/>
      </w:tabs>
      <w:spacing w:before="120" w:line="180" w:lineRule="atLeast"/>
    </w:pPr>
    <w:rPr>
      <w:sz w:val="14"/>
    </w:rPr>
  </w:style>
  <w:style w:type="numbering" w:styleId="111111">
    <w:name w:val="Outline List 2"/>
    <w:basedOn w:val="NoList"/>
    <w:semiHidden/>
    <w:rsid w:val="003B637B"/>
    <w:pPr>
      <w:numPr>
        <w:numId w:val="5"/>
      </w:numPr>
    </w:pPr>
  </w:style>
  <w:style w:type="numbering" w:styleId="1ai">
    <w:name w:val="Outline List 1"/>
    <w:basedOn w:val="NoList"/>
    <w:semiHidden/>
    <w:rsid w:val="003B637B"/>
    <w:pPr>
      <w:numPr>
        <w:numId w:val="6"/>
      </w:numPr>
    </w:pPr>
  </w:style>
  <w:style w:type="numbering" w:styleId="ArticleSection">
    <w:name w:val="Outline List 3"/>
    <w:basedOn w:val="NoList"/>
    <w:semiHidden/>
    <w:rsid w:val="003B637B"/>
    <w:pPr>
      <w:numPr>
        <w:numId w:val="7"/>
      </w:numPr>
    </w:pPr>
  </w:style>
  <w:style w:type="paragraph" w:styleId="BlockText">
    <w:name w:val="Block Text"/>
    <w:basedOn w:val="Normal"/>
    <w:semiHidden/>
    <w:rsid w:val="003B637B"/>
    <w:pPr>
      <w:ind w:left="1440" w:right="1440"/>
    </w:pPr>
  </w:style>
  <w:style w:type="paragraph" w:styleId="BodyText">
    <w:name w:val="Body Text"/>
    <w:basedOn w:val="Normal"/>
    <w:semiHidden/>
    <w:rsid w:val="003B637B"/>
  </w:style>
  <w:style w:type="paragraph" w:styleId="BodyText2">
    <w:name w:val="Body Text 2"/>
    <w:basedOn w:val="Normal"/>
    <w:semiHidden/>
    <w:rsid w:val="003B637B"/>
    <w:pPr>
      <w:spacing w:line="480" w:lineRule="auto"/>
    </w:pPr>
  </w:style>
  <w:style w:type="paragraph" w:styleId="BodyText3">
    <w:name w:val="Body Text 3"/>
    <w:basedOn w:val="Normal"/>
    <w:semiHidden/>
    <w:rsid w:val="003B637B"/>
    <w:rPr>
      <w:sz w:val="16"/>
      <w:szCs w:val="16"/>
    </w:rPr>
  </w:style>
  <w:style w:type="paragraph" w:styleId="BodyTextFirstIndent">
    <w:name w:val="Body Text First Indent"/>
    <w:basedOn w:val="BodyText"/>
    <w:semiHidden/>
    <w:rsid w:val="003B637B"/>
    <w:pPr>
      <w:ind w:firstLine="210"/>
    </w:pPr>
  </w:style>
  <w:style w:type="paragraph" w:styleId="BodyTextIndent">
    <w:name w:val="Body Text Indent"/>
    <w:basedOn w:val="Normal"/>
    <w:semiHidden/>
    <w:rsid w:val="003B637B"/>
    <w:pPr>
      <w:ind w:left="283"/>
    </w:pPr>
  </w:style>
  <w:style w:type="paragraph" w:styleId="BodyTextFirstIndent2">
    <w:name w:val="Body Text First Indent 2"/>
    <w:basedOn w:val="BodyTextIndent"/>
    <w:semiHidden/>
    <w:rsid w:val="003B637B"/>
    <w:pPr>
      <w:ind w:firstLine="210"/>
    </w:pPr>
  </w:style>
  <w:style w:type="paragraph" w:styleId="BodyTextIndent2">
    <w:name w:val="Body Text Indent 2"/>
    <w:basedOn w:val="Normal"/>
    <w:semiHidden/>
    <w:rsid w:val="003B637B"/>
    <w:pPr>
      <w:spacing w:line="480" w:lineRule="auto"/>
      <w:ind w:left="283"/>
    </w:pPr>
  </w:style>
  <w:style w:type="paragraph" w:styleId="BodyTextIndent3">
    <w:name w:val="Body Text Indent 3"/>
    <w:basedOn w:val="Normal"/>
    <w:semiHidden/>
    <w:rsid w:val="003B637B"/>
    <w:pPr>
      <w:ind w:left="283"/>
    </w:pPr>
    <w:rPr>
      <w:sz w:val="16"/>
      <w:szCs w:val="16"/>
    </w:rPr>
  </w:style>
  <w:style w:type="paragraph" w:styleId="Closing">
    <w:name w:val="Closing"/>
    <w:basedOn w:val="Normal"/>
    <w:semiHidden/>
    <w:rsid w:val="003B637B"/>
    <w:pPr>
      <w:ind w:left="4252"/>
    </w:pPr>
  </w:style>
  <w:style w:type="paragraph" w:styleId="Date">
    <w:name w:val="Date"/>
    <w:basedOn w:val="Normal"/>
    <w:next w:val="Normal"/>
    <w:semiHidden/>
    <w:rsid w:val="003B637B"/>
  </w:style>
  <w:style w:type="paragraph" w:styleId="E-mailSignature">
    <w:name w:val="E-mail Signature"/>
    <w:basedOn w:val="Normal"/>
    <w:semiHidden/>
    <w:rsid w:val="003B637B"/>
  </w:style>
  <w:style w:type="paragraph" w:customStyle="1" w:styleId="Bullet3">
    <w:name w:val="Bullet 3"/>
    <w:basedOn w:val="Bullet2"/>
    <w:uiPriority w:val="2"/>
    <w:qFormat/>
    <w:rsid w:val="0033783A"/>
    <w:pPr>
      <w:numPr>
        <w:ilvl w:val="1"/>
        <w:numId w:val="27"/>
      </w:numPr>
      <w:tabs>
        <w:tab w:val="clear" w:pos="1440"/>
      </w:tabs>
      <w:ind w:left="1276" w:hanging="425"/>
    </w:pPr>
  </w:style>
  <w:style w:type="paragraph" w:styleId="EnvelopeAddress">
    <w:name w:val="envelope address"/>
    <w:basedOn w:val="Normal"/>
    <w:semiHidden/>
    <w:rsid w:val="003B637B"/>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3B637B"/>
    <w:rPr>
      <w:rFonts w:cs="Arial"/>
      <w:sz w:val="20"/>
      <w:szCs w:val="20"/>
    </w:rPr>
  </w:style>
  <w:style w:type="character" w:styleId="FollowedHyperlink">
    <w:name w:val="FollowedHyperlink"/>
    <w:uiPriority w:val="16"/>
    <w:unhideWhenUsed/>
    <w:rsid w:val="00232418"/>
    <w:rPr>
      <w:color w:val="5F497A"/>
      <w:u w:val="single"/>
    </w:rPr>
  </w:style>
  <w:style w:type="paragraph" w:styleId="Footer">
    <w:name w:val="footer"/>
    <w:basedOn w:val="Normal"/>
    <w:link w:val="FooterChar"/>
    <w:uiPriority w:val="99"/>
    <w:rsid w:val="008623DD"/>
    <w:pPr>
      <w:tabs>
        <w:tab w:val="center" w:pos="4153"/>
        <w:tab w:val="right" w:pos="8306"/>
      </w:tabs>
      <w:jc w:val="center"/>
    </w:pPr>
    <w:rPr>
      <w:sz w:val="20"/>
      <w:szCs w:val="20"/>
      <w:lang w:eastAsia="en-US"/>
    </w:rPr>
  </w:style>
  <w:style w:type="paragraph" w:styleId="Header">
    <w:name w:val="header"/>
    <w:basedOn w:val="Normal"/>
    <w:link w:val="HeaderChar"/>
    <w:uiPriority w:val="99"/>
    <w:rsid w:val="00CD1D61"/>
    <w:pPr>
      <w:tabs>
        <w:tab w:val="center" w:pos="4153"/>
        <w:tab w:val="right" w:pos="8306"/>
      </w:tabs>
    </w:pPr>
  </w:style>
  <w:style w:type="character" w:styleId="HTMLAcronym">
    <w:name w:val="HTML Acronym"/>
    <w:basedOn w:val="DefaultParagraphFont"/>
    <w:semiHidden/>
    <w:rsid w:val="003B637B"/>
  </w:style>
  <w:style w:type="paragraph" w:styleId="HTMLAddress">
    <w:name w:val="HTML Address"/>
    <w:basedOn w:val="Normal"/>
    <w:semiHidden/>
    <w:rsid w:val="003B637B"/>
    <w:rPr>
      <w:i/>
      <w:iCs/>
    </w:rPr>
  </w:style>
  <w:style w:type="character" w:styleId="HTMLCite">
    <w:name w:val="HTML Cite"/>
    <w:semiHidden/>
    <w:rsid w:val="003B637B"/>
    <w:rPr>
      <w:i/>
      <w:iCs/>
    </w:rPr>
  </w:style>
  <w:style w:type="character" w:styleId="HTMLCode">
    <w:name w:val="HTML Code"/>
    <w:semiHidden/>
    <w:rsid w:val="003B637B"/>
    <w:rPr>
      <w:rFonts w:ascii="Courier New" w:hAnsi="Courier New" w:cs="Courier New"/>
      <w:sz w:val="20"/>
      <w:szCs w:val="20"/>
    </w:rPr>
  </w:style>
  <w:style w:type="character" w:styleId="HTMLDefinition">
    <w:name w:val="HTML Definition"/>
    <w:semiHidden/>
    <w:rsid w:val="003B637B"/>
    <w:rPr>
      <w:i/>
      <w:iCs/>
    </w:rPr>
  </w:style>
  <w:style w:type="character" w:styleId="HTMLKeyboard">
    <w:name w:val="HTML Keyboard"/>
    <w:semiHidden/>
    <w:rsid w:val="003B637B"/>
    <w:rPr>
      <w:rFonts w:ascii="Courier New" w:hAnsi="Courier New" w:cs="Courier New"/>
      <w:sz w:val="20"/>
      <w:szCs w:val="20"/>
    </w:rPr>
  </w:style>
  <w:style w:type="paragraph" w:styleId="HTMLPreformatted">
    <w:name w:val="HTML Preformatted"/>
    <w:basedOn w:val="Normal"/>
    <w:semiHidden/>
    <w:rsid w:val="003B637B"/>
    <w:rPr>
      <w:rFonts w:ascii="Courier New" w:hAnsi="Courier New" w:cs="Courier New"/>
      <w:sz w:val="20"/>
      <w:szCs w:val="20"/>
    </w:rPr>
  </w:style>
  <w:style w:type="character" w:styleId="HTMLSample">
    <w:name w:val="HTML Sample"/>
    <w:semiHidden/>
    <w:rsid w:val="003B637B"/>
    <w:rPr>
      <w:rFonts w:ascii="Courier New" w:hAnsi="Courier New" w:cs="Courier New"/>
    </w:rPr>
  </w:style>
  <w:style w:type="character" w:styleId="HTMLTypewriter">
    <w:name w:val="HTML Typewriter"/>
    <w:semiHidden/>
    <w:rsid w:val="003B637B"/>
    <w:rPr>
      <w:rFonts w:ascii="Courier New" w:hAnsi="Courier New" w:cs="Courier New"/>
      <w:sz w:val="20"/>
      <w:szCs w:val="20"/>
    </w:rPr>
  </w:style>
  <w:style w:type="character" w:styleId="HTMLVariable">
    <w:name w:val="HTML Variable"/>
    <w:semiHidden/>
    <w:rsid w:val="003B637B"/>
    <w:rPr>
      <w:i/>
      <w:iCs/>
    </w:rPr>
  </w:style>
  <w:style w:type="character" w:styleId="Hyperlink">
    <w:name w:val="Hyperlink"/>
    <w:uiPriority w:val="99"/>
    <w:unhideWhenUsed/>
    <w:rsid w:val="00466888"/>
    <w:rPr>
      <w:color w:val="1F497D"/>
      <w:u w:val="single"/>
    </w:rPr>
  </w:style>
  <w:style w:type="character" w:styleId="LineNumber">
    <w:name w:val="line number"/>
    <w:basedOn w:val="DefaultParagraphFont"/>
    <w:semiHidden/>
    <w:rsid w:val="003B637B"/>
  </w:style>
  <w:style w:type="paragraph" w:styleId="List">
    <w:name w:val="List"/>
    <w:basedOn w:val="Normal"/>
    <w:semiHidden/>
    <w:rsid w:val="003B637B"/>
    <w:pPr>
      <w:ind w:left="283" w:hanging="283"/>
    </w:pPr>
  </w:style>
  <w:style w:type="paragraph" w:styleId="List2">
    <w:name w:val="List 2"/>
    <w:basedOn w:val="Normal"/>
    <w:semiHidden/>
    <w:rsid w:val="003B637B"/>
    <w:pPr>
      <w:ind w:left="566" w:hanging="283"/>
    </w:pPr>
  </w:style>
  <w:style w:type="paragraph" w:styleId="List3">
    <w:name w:val="List 3"/>
    <w:basedOn w:val="Normal"/>
    <w:semiHidden/>
    <w:rsid w:val="003B637B"/>
    <w:pPr>
      <w:ind w:left="849" w:hanging="283"/>
    </w:pPr>
  </w:style>
  <w:style w:type="paragraph" w:styleId="List4">
    <w:name w:val="List 4"/>
    <w:basedOn w:val="Normal"/>
    <w:semiHidden/>
    <w:rsid w:val="003B637B"/>
    <w:pPr>
      <w:ind w:left="1132" w:hanging="283"/>
    </w:pPr>
  </w:style>
  <w:style w:type="paragraph" w:styleId="List5">
    <w:name w:val="List 5"/>
    <w:basedOn w:val="Normal"/>
    <w:semiHidden/>
    <w:rsid w:val="003B637B"/>
    <w:pPr>
      <w:ind w:left="1415" w:hanging="283"/>
    </w:pPr>
  </w:style>
  <w:style w:type="paragraph" w:styleId="ListBullet">
    <w:name w:val="List Bullet"/>
    <w:basedOn w:val="Normal"/>
    <w:semiHidden/>
    <w:rsid w:val="003B637B"/>
    <w:pPr>
      <w:numPr>
        <w:numId w:val="8"/>
      </w:numPr>
    </w:pPr>
  </w:style>
  <w:style w:type="paragraph" w:styleId="ListBullet2">
    <w:name w:val="List Bullet 2"/>
    <w:basedOn w:val="Normal"/>
    <w:semiHidden/>
    <w:rsid w:val="003B637B"/>
    <w:pPr>
      <w:numPr>
        <w:numId w:val="9"/>
      </w:numPr>
    </w:pPr>
  </w:style>
  <w:style w:type="paragraph" w:styleId="ListBullet3">
    <w:name w:val="List Bullet 3"/>
    <w:basedOn w:val="Normal"/>
    <w:semiHidden/>
    <w:rsid w:val="003B637B"/>
    <w:pPr>
      <w:numPr>
        <w:numId w:val="10"/>
      </w:numPr>
    </w:pPr>
  </w:style>
  <w:style w:type="paragraph" w:styleId="ListBullet4">
    <w:name w:val="List Bullet 4"/>
    <w:basedOn w:val="Normal"/>
    <w:semiHidden/>
    <w:rsid w:val="003B637B"/>
    <w:pPr>
      <w:numPr>
        <w:numId w:val="11"/>
      </w:numPr>
      <w:tabs>
        <w:tab w:val="clear" w:pos="1209"/>
        <w:tab w:val="num" w:pos="360"/>
      </w:tabs>
      <w:ind w:left="0" w:firstLine="0"/>
    </w:pPr>
  </w:style>
  <w:style w:type="paragraph" w:styleId="ListBullet5">
    <w:name w:val="List Bullet 5"/>
    <w:basedOn w:val="Normal"/>
    <w:semiHidden/>
    <w:rsid w:val="003B637B"/>
    <w:pPr>
      <w:numPr>
        <w:numId w:val="12"/>
      </w:numPr>
    </w:pPr>
  </w:style>
  <w:style w:type="paragraph" w:styleId="ListContinue">
    <w:name w:val="List Continue"/>
    <w:basedOn w:val="Normal"/>
    <w:semiHidden/>
    <w:rsid w:val="003B637B"/>
    <w:pPr>
      <w:ind w:left="283"/>
    </w:pPr>
  </w:style>
  <w:style w:type="paragraph" w:styleId="ListContinue2">
    <w:name w:val="List Continue 2"/>
    <w:basedOn w:val="Normal"/>
    <w:semiHidden/>
    <w:rsid w:val="003B637B"/>
    <w:pPr>
      <w:ind w:left="566"/>
    </w:pPr>
  </w:style>
  <w:style w:type="paragraph" w:styleId="ListContinue3">
    <w:name w:val="List Continue 3"/>
    <w:basedOn w:val="Normal"/>
    <w:semiHidden/>
    <w:rsid w:val="003B637B"/>
    <w:pPr>
      <w:ind w:left="849"/>
    </w:pPr>
  </w:style>
  <w:style w:type="paragraph" w:styleId="ListContinue4">
    <w:name w:val="List Continue 4"/>
    <w:basedOn w:val="Normal"/>
    <w:semiHidden/>
    <w:rsid w:val="003B637B"/>
    <w:pPr>
      <w:ind w:left="1132"/>
    </w:pPr>
  </w:style>
  <w:style w:type="paragraph" w:styleId="ListContinue5">
    <w:name w:val="List Continue 5"/>
    <w:basedOn w:val="Normal"/>
    <w:semiHidden/>
    <w:rsid w:val="003B637B"/>
    <w:pPr>
      <w:ind w:left="1415"/>
    </w:pPr>
  </w:style>
  <w:style w:type="paragraph" w:styleId="ListNumber">
    <w:name w:val="List Number"/>
    <w:basedOn w:val="Normal"/>
    <w:semiHidden/>
    <w:rsid w:val="003B637B"/>
    <w:pPr>
      <w:numPr>
        <w:numId w:val="13"/>
      </w:numPr>
    </w:pPr>
  </w:style>
  <w:style w:type="paragraph" w:styleId="ListNumber2">
    <w:name w:val="List Number 2"/>
    <w:basedOn w:val="Normal"/>
    <w:semiHidden/>
    <w:rsid w:val="003B637B"/>
    <w:pPr>
      <w:numPr>
        <w:numId w:val="14"/>
      </w:numPr>
    </w:pPr>
  </w:style>
  <w:style w:type="paragraph" w:styleId="ListNumber3">
    <w:name w:val="List Number 3"/>
    <w:basedOn w:val="Normal"/>
    <w:semiHidden/>
    <w:rsid w:val="003B637B"/>
    <w:pPr>
      <w:numPr>
        <w:numId w:val="15"/>
      </w:numPr>
    </w:pPr>
  </w:style>
  <w:style w:type="paragraph" w:styleId="ListNumber4">
    <w:name w:val="List Number 4"/>
    <w:basedOn w:val="Normal"/>
    <w:semiHidden/>
    <w:rsid w:val="003B637B"/>
    <w:pPr>
      <w:numPr>
        <w:numId w:val="16"/>
      </w:numPr>
    </w:pPr>
  </w:style>
  <w:style w:type="paragraph" w:styleId="ListNumber5">
    <w:name w:val="List Number 5"/>
    <w:basedOn w:val="Normal"/>
    <w:semiHidden/>
    <w:rsid w:val="003B637B"/>
    <w:pPr>
      <w:numPr>
        <w:numId w:val="17"/>
      </w:numPr>
    </w:pPr>
  </w:style>
  <w:style w:type="paragraph" w:styleId="MessageHeader">
    <w:name w:val="Message Header"/>
    <w:basedOn w:val="Normal"/>
    <w:semiHidden/>
    <w:rsid w:val="003B637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3B637B"/>
    <w:rPr>
      <w:rFonts w:ascii="Times New Roman" w:hAnsi="Times New Roman"/>
      <w:sz w:val="24"/>
    </w:rPr>
  </w:style>
  <w:style w:type="paragraph" w:styleId="NormalIndent">
    <w:name w:val="Normal Indent"/>
    <w:basedOn w:val="Normal"/>
    <w:semiHidden/>
    <w:rsid w:val="003B637B"/>
    <w:pPr>
      <w:ind w:left="720"/>
    </w:pPr>
  </w:style>
  <w:style w:type="paragraph" w:styleId="NoteHeading">
    <w:name w:val="Note Heading"/>
    <w:basedOn w:val="Normal"/>
    <w:next w:val="Normal"/>
    <w:semiHidden/>
    <w:rsid w:val="003B637B"/>
  </w:style>
  <w:style w:type="paragraph" w:styleId="PlainText">
    <w:name w:val="Plain Text"/>
    <w:basedOn w:val="Normal"/>
    <w:semiHidden/>
    <w:rsid w:val="003B637B"/>
    <w:rPr>
      <w:rFonts w:ascii="Courier New" w:hAnsi="Courier New" w:cs="Courier New"/>
      <w:sz w:val="20"/>
      <w:szCs w:val="20"/>
    </w:rPr>
  </w:style>
  <w:style w:type="paragraph" w:styleId="Salutation">
    <w:name w:val="Salutation"/>
    <w:basedOn w:val="Normal"/>
    <w:next w:val="Normal"/>
    <w:semiHidden/>
    <w:rsid w:val="003B637B"/>
  </w:style>
  <w:style w:type="paragraph" w:styleId="Signature">
    <w:name w:val="Signature"/>
    <w:basedOn w:val="Normal"/>
    <w:semiHidden/>
    <w:rsid w:val="003B637B"/>
    <w:pPr>
      <w:ind w:left="4252"/>
    </w:pPr>
  </w:style>
  <w:style w:type="table" w:styleId="Table3Deffects1">
    <w:name w:val="Table 3D effects 1"/>
    <w:basedOn w:val="TableNormal"/>
    <w:semiHidden/>
    <w:rsid w:val="003B637B"/>
    <w:pPr>
      <w:spacing w:after="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637B"/>
    <w:pPr>
      <w:spacing w:after="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637B"/>
    <w:pPr>
      <w:spacing w:after="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637B"/>
    <w:pPr>
      <w:spacing w:after="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637B"/>
    <w:pPr>
      <w:spacing w:after="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B637B"/>
    <w:pPr>
      <w:spacing w:after="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B637B"/>
    <w:pPr>
      <w:spacing w:after="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B637B"/>
    <w:pPr>
      <w:spacing w:after="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637B"/>
    <w:pPr>
      <w:spacing w:after="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637B"/>
    <w:pPr>
      <w:spacing w:after="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637B"/>
    <w:pPr>
      <w:spacing w:after="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637B"/>
    <w:pPr>
      <w:spacing w:after="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637B"/>
    <w:pPr>
      <w:spacing w:after="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637B"/>
    <w:pPr>
      <w:spacing w:after="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637B"/>
    <w:pPr>
      <w:spacing w:after="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F4B5D"/>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637B"/>
    <w:pPr>
      <w:spacing w:after="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637B"/>
    <w:pPr>
      <w:spacing w:after="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637B"/>
    <w:pPr>
      <w:spacing w:after="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637B"/>
    <w:pPr>
      <w:spacing w:after="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637B"/>
    <w:pPr>
      <w:spacing w:after="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637B"/>
    <w:pPr>
      <w:spacing w:after="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637B"/>
    <w:pPr>
      <w:spacing w:after="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637B"/>
    <w:pPr>
      <w:spacing w:after="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637B"/>
    <w:pPr>
      <w:spacing w:after="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TOC1"/>
    <w:next w:val="AIHWbodytext"/>
    <w:uiPriority w:val="21"/>
    <w:unhideWhenUsed/>
    <w:rsid w:val="009B2765"/>
    <w:pPr>
      <w:tabs>
        <w:tab w:val="clear" w:pos="397"/>
      </w:tabs>
      <w:spacing w:before="60" w:line="240" w:lineRule="atLeast"/>
      <w:ind w:left="992" w:hanging="992"/>
    </w:pPr>
    <w:rPr>
      <w:b w:val="0"/>
      <w:sz w:val="20"/>
    </w:rPr>
  </w:style>
  <w:style w:type="table" w:styleId="TableProfessional">
    <w:name w:val="Table Professional"/>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B637B"/>
    <w:pPr>
      <w:spacing w:after="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637B"/>
    <w:pPr>
      <w:spacing w:after="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637B"/>
    <w:pPr>
      <w:spacing w:after="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637B"/>
    <w:pPr>
      <w:spacing w:after="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B637B"/>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637B"/>
    <w:pPr>
      <w:spacing w:after="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637B"/>
    <w:pPr>
      <w:spacing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637B"/>
    <w:pPr>
      <w:spacing w:after="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FigHeadingtotal">
    <w:name w:val="Table/Fig: Heading &amp; total"/>
    <w:basedOn w:val="TableFigText"/>
    <w:next w:val="TableFigText"/>
    <w:uiPriority w:val="6"/>
    <w:rsid w:val="009B2765"/>
    <w:rPr>
      <w:b/>
    </w:rPr>
  </w:style>
  <w:style w:type="character" w:customStyle="1" w:styleId="Heading1Char">
    <w:name w:val="Heading 1 Char"/>
    <w:link w:val="Heading1"/>
    <w:uiPriority w:val="1"/>
    <w:rsid w:val="00EA5C10"/>
    <w:rPr>
      <w:rFonts w:ascii="Arial" w:hAnsi="Arial"/>
      <w:b/>
      <w:color w:val="000000"/>
      <w:sz w:val="44"/>
      <w:lang w:eastAsia="en-US"/>
    </w:rPr>
  </w:style>
  <w:style w:type="character" w:customStyle="1" w:styleId="TableFigTextChar">
    <w:name w:val="Table/Fig: Text Char"/>
    <w:link w:val="TableFigText"/>
    <w:uiPriority w:val="6"/>
    <w:rsid w:val="000E3F97"/>
    <w:rPr>
      <w:rFonts w:ascii="Arial" w:hAnsi="Arial"/>
      <w:sz w:val="16"/>
      <w:szCs w:val="20"/>
      <w:lang w:eastAsia="en-US"/>
    </w:rPr>
  </w:style>
  <w:style w:type="paragraph" w:styleId="BalloonText">
    <w:name w:val="Balloon Text"/>
    <w:basedOn w:val="Normal"/>
    <w:semiHidden/>
    <w:rsid w:val="005E5A15"/>
    <w:rPr>
      <w:rFonts w:ascii="Tahoma" w:hAnsi="Tahoma" w:cs="Tahoma"/>
      <w:sz w:val="16"/>
      <w:szCs w:val="16"/>
    </w:rPr>
  </w:style>
  <w:style w:type="paragraph" w:styleId="DocumentMap">
    <w:name w:val="Document Map"/>
    <w:basedOn w:val="Normal"/>
    <w:semiHidden/>
    <w:rsid w:val="004E250D"/>
    <w:pPr>
      <w:shd w:val="clear" w:color="auto" w:fill="000080"/>
    </w:pPr>
    <w:rPr>
      <w:rFonts w:ascii="Tahoma" w:hAnsi="Tahoma" w:cs="Tahoma"/>
      <w:sz w:val="20"/>
      <w:szCs w:val="20"/>
    </w:rPr>
  </w:style>
  <w:style w:type="character" w:customStyle="1" w:styleId="AIHWbodytextChar">
    <w:name w:val="AIHW body text Char"/>
    <w:link w:val="AIHWbodytext"/>
    <w:locked/>
    <w:rsid w:val="00E851D6"/>
    <w:rPr>
      <w:rFonts w:ascii="Arial" w:hAnsi="Arial"/>
      <w:sz w:val="22"/>
      <w:lang w:eastAsia="en-US"/>
    </w:rPr>
  </w:style>
  <w:style w:type="character" w:customStyle="1" w:styleId="Heading2Char">
    <w:name w:val="Heading 2 Char"/>
    <w:link w:val="Heading2"/>
    <w:uiPriority w:val="1"/>
    <w:rsid w:val="00BE6005"/>
    <w:rPr>
      <w:rFonts w:ascii="Arial" w:hAnsi="Arial"/>
      <w:b/>
      <w:color w:val="000000"/>
      <w:sz w:val="36"/>
      <w:lang w:eastAsia="en-US"/>
    </w:rPr>
  </w:style>
  <w:style w:type="character" w:customStyle="1" w:styleId="Heading3Char">
    <w:name w:val="Heading 3 Char"/>
    <w:link w:val="Heading3"/>
    <w:uiPriority w:val="1"/>
    <w:rsid w:val="00BE6005"/>
    <w:rPr>
      <w:rFonts w:ascii="Arial" w:hAnsi="Arial"/>
      <w:b/>
      <w:color w:val="000000"/>
      <w:sz w:val="28"/>
      <w:lang w:eastAsia="en-US"/>
    </w:rPr>
  </w:style>
  <w:style w:type="character" w:customStyle="1" w:styleId="Heading4Char">
    <w:name w:val="Heading 4 Char"/>
    <w:link w:val="Heading4"/>
    <w:uiPriority w:val="1"/>
    <w:rsid w:val="00EA5C10"/>
    <w:rPr>
      <w:rFonts w:ascii="Arial" w:hAnsi="Arial"/>
      <w:b/>
      <w:color w:val="000000"/>
      <w:sz w:val="24"/>
      <w:lang w:eastAsia="en-US"/>
    </w:rPr>
  </w:style>
  <w:style w:type="character" w:customStyle="1" w:styleId="Heading5Char">
    <w:name w:val="Heading 5 Char"/>
    <w:link w:val="Heading5"/>
    <w:uiPriority w:val="1"/>
    <w:rsid w:val="00E851D6"/>
    <w:rPr>
      <w:rFonts w:ascii="Arial" w:hAnsi="Arial"/>
      <w:b/>
      <w:color w:val="000000"/>
      <w:sz w:val="22"/>
      <w:szCs w:val="22"/>
      <w:lang w:eastAsia="en-US"/>
    </w:rPr>
  </w:style>
  <w:style w:type="character" w:customStyle="1" w:styleId="Heading6Char">
    <w:name w:val="Heading 6 Char"/>
    <w:link w:val="Heading6"/>
    <w:uiPriority w:val="1"/>
    <w:rsid w:val="000E3F97"/>
    <w:rPr>
      <w:i/>
      <w:color w:val="000000"/>
      <w:lang w:eastAsia="en-US"/>
    </w:rPr>
  </w:style>
  <w:style w:type="character" w:styleId="CommentReference">
    <w:name w:val="annotation reference"/>
    <w:uiPriority w:val="21"/>
    <w:unhideWhenUsed/>
    <w:rsid w:val="00BC3DD5"/>
    <w:rPr>
      <w:sz w:val="16"/>
      <w:szCs w:val="16"/>
    </w:rPr>
  </w:style>
  <w:style w:type="paragraph" w:styleId="CommentText">
    <w:name w:val="annotation text"/>
    <w:basedOn w:val="Normal"/>
    <w:link w:val="CommentTextChar"/>
    <w:uiPriority w:val="21"/>
    <w:unhideWhenUsed/>
    <w:rsid w:val="00BC3DD5"/>
    <w:rPr>
      <w:sz w:val="20"/>
      <w:szCs w:val="20"/>
    </w:rPr>
  </w:style>
  <w:style w:type="character" w:customStyle="1" w:styleId="CommentTextChar">
    <w:name w:val="Comment Text Char"/>
    <w:link w:val="CommentText"/>
    <w:uiPriority w:val="21"/>
    <w:rsid w:val="00232418"/>
  </w:style>
  <w:style w:type="paragraph" w:styleId="CommentSubject">
    <w:name w:val="annotation subject"/>
    <w:basedOn w:val="CommentText"/>
    <w:next w:val="CommentText"/>
    <w:link w:val="CommentSubjectChar"/>
    <w:uiPriority w:val="21"/>
    <w:unhideWhenUsed/>
    <w:rsid w:val="00BC3DD5"/>
    <w:rPr>
      <w:b/>
      <w:bCs/>
    </w:rPr>
  </w:style>
  <w:style w:type="character" w:customStyle="1" w:styleId="CommentSubjectChar">
    <w:name w:val="Comment Subject Char"/>
    <w:link w:val="CommentSubject"/>
    <w:uiPriority w:val="21"/>
    <w:rsid w:val="00232418"/>
    <w:rPr>
      <w:b/>
      <w:bCs/>
    </w:rPr>
  </w:style>
  <w:style w:type="paragraph" w:customStyle="1" w:styleId="BoxItalics">
    <w:name w:val="Box: Italics"/>
    <w:basedOn w:val="BoxText"/>
    <w:next w:val="BoxText"/>
    <w:link w:val="BoxItalicsChar"/>
    <w:uiPriority w:val="3"/>
    <w:qFormat/>
    <w:rsid w:val="00C42A4F"/>
    <w:rPr>
      <w:i/>
    </w:rPr>
  </w:style>
  <w:style w:type="character" w:customStyle="1" w:styleId="BoxTextChar">
    <w:name w:val="Box: Text Char"/>
    <w:link w:val="BoxText"/>
    <w:uiPriority w:val="3"/>
    <w:rsid w:val="000E3F97"/>
    <w:rPr>
      <w:sz w:val="21"/>
      <w:szCs w:val="20"/>
      <w:lang w:eastAsia="en-US"/>
    </w:rPr>
  </w:style>
  <w:style w:type="character" w:customStyle="1" w:styleId="BoxItalicsChar">
    <w:name w:val="Box: Italics Char"/>
    <w:link w:val="BoxItalics"/>
    <w:uiPriority w:val="3"/>
    <w:rsid w:val="000E3F97"/>
    <w:rPr>
      <w:i/>
      <w:sz w:val="21"/>
      <w:szCs w:val="20"/>
      <w:lang w:eastAsia="en-US"/>
    </w:rPr>
  </w:style>
  <w:style w:type="character" w:customStyle="1" w:styleId="FooterChar">
    <w:name w:val="Footer Char"/>
    <w:link w:val="Footer"/>
    <w:uiPriority w:val="99"/>
    <w:rsid w:val="00232418"/>
    <w:rPr>
      <w:rFonts w:ascii="Arial" w:hAnsi="Arial"/>
      <w:lang w:eastAsia="en-US"/>
    </w:rPr>
  </w:style>
  <w:style w:type="paragraph" w:customStyle="1" w:styleId="AIHWbodytextintable">
    <w:name w:val="AIHW body text in table"/>
    <w:basedOn w:val="AIHWbodytext"/>
    <w:next w:val="AIHWbodytext"/>
    <w:rsid w:val="00CD777B"/>
    <w:pPr>
      <w:spacing w:before="80" w:after="80"/>
    </w:pPr>
  </w:style>
  <w:style w:type="paragraph" w:customStyle="1" w:styleId="Boxcontinued">
    <w:name w:val="Box: (continued)"/>
    <w:basedOn w:val="BoxText"/>
    <w:next w:val="BoxHeading1"/>
    <w:uiPriority w:val="4"/>
    <w:rsid w:val="00BE6005"/>
    <w:pPr>
      <w:spacing w:before="0" w:after="0"/>
      <w:jc w:val="right"/>
    </w:pPr>
    <w:rPr>
      <w:i/>
      <w:sz w:val="20"/>
    </w:rPr>
  </w:style>
  <w:style w:type="paragraph" w:styleId="ListParagraph">
    <w:name w:val="List Paragraph"/>
    <w:basedOn w:val="Normal"/>
    <w:uiPriority w:val="34"/>
    <w:semiHidden/>
    <w:qFormat/>
    <w:rsid w:val="00922558"/>
    <w:pPr>
      <w:ind w:left="720"/>
      <w:contextualSpacing/>
    </w:pPr>
  </w:style>
  <w:style w:type="table" w:customStyle="1" w:styleId="TableGrid30">
    <w:name w:val="Table Grid3"/>
    <w:basedOn w:val="TableNormal"/>
    <w:next w:val="TableGrid"/>
    <w:rsid w:val="00F04EC2"/>
    <w:pPr>
      <w:spacing w:before="60" w:after="40" w:line="260" w:lineRule="atLeast"/>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1B21"/>
    <w:rPr>
      <w:rFonts w:ascii="Arial" w:hAnsi="Arial"/>
      <w:sz w:val="22"/>
      <w:szCs w:val="22"/>
    </w:rPr>
  </w:style>
  <w:style w:type="character" w:customStyle="1" w:styleId="row-heading">
    <w:name w:val="row-heading"/>
    <w:uiPriority w:val="11"/>
    <w:qFormat/>
    <w:rsid w:val="00696CF0"/>
    <w:rPr>
      <w:rFonts w:ascii="Segoe UI"/>
      <w:color w:val="1F497D" w:themeColor="dark2"/>
      <w:sz w:val="22"/>
    </w:rPr>
  </w:style>
  <w:style w:type="table" w:customStyle="1" w:styleId="TableGrid10">
    <w:name w:val="Table Grid1"/>
    <w:next w:val="TableGrid"/>
    <w:rsid w:val="00696CF0"/>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
    <w:next w:val="TableGrid"/>
    <w:rsid w:val="00696CF0"/>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nresolvedMention">
    <w:name w:val="Unresolved Mention"/>
    <w:basedOn w:val="DefaultParagraphFont"/>
    <w:uiPriority w:val="99"/>
    <w:semiHidden/>
    <w:unhideWhenUsed/>
    <w:rsid w:val="00AB7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101885">
      <w:bodyDiv w:val="1"/>
      <w:marLeft w:val="0"/>
      <w:marRight w:val="0"/>
      <w:marTop w:val="0"/>
      <w:marBottom w:val="0"/>
      <w:divBdr>
        <w:top w:val="none" w:sz="0" w:space="0" w:color="auto"/>
        <w:left w:val="none" w:sz="0" w:space="0" w:color="auto"/>
        <w:bottom w:val="none" w:sz="0" w:space="0" w:color="auto"/>
        <w:right w:val="none" w:sz="0" w:space="0" w:color="auto"/>
      </w:divBdr>
    </w:div>
    <w:div w:id="919365752">
      <w:bodyDiv w:val="1"/>
      <w:marLeft w:val="0"/>
      <w:marRight w:val="0"/>
      <w:marTop w:val="0"/>
      <w:marBottom w:val="0"/>
      <w:divBdr>
        <w:top w:val="none" w:sz="0" w:space="0" w:color="auto"/>
        <w:left w:val="none" w:sz="0" w:space="0" w:color="auto"/>
        <w:bottom w:val="none" w:sz="0" w:space="0" w:color="auto"/>
        <w:right w:val="none" w:sz="0" w:space="0" w:color="auto"/>
      </w:divBdr>
    </w:div>
    <w:div w:id="174530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teor.aihw.gov.au/content/742709" TargetMode="External"/><Relationship Id="rId21" Type="http://schemas.openxmlformats.org/officeDocument/2006/relationships/hyperlink" Target="https://meteor.aihw.gov.au/content/689064" TargetMode="External"/><Relationship Id="rId34" Type="http://schemas.openxmlformats.org/officeDocument/2006/relationships/hyperlink" Target="https://meteor.aihw.gov.au/content/327244" TargetMode="External"/><Relationship Id="rId42" Type="http://schemas.openxmlformats.org/officeDocument/2006/relationships/hyperlink" Target="https://meteor.aihw.gov.au/content/689064" TargetMode="External"/><Relationship Id="rId47" Type="http://schemas.openxmlformats.org/officeDocument/2006/relationships/hyperlink" Target="https://meteor.aihw.gov.au/content/742724" TargetMode="External"/><Relationship Id="rId50" Type="http://schemas.openxmlformats.org/officeDocument/2006/relationships/hyperlink" Target="https://meteor.aihw.gov.au/content/750317" TargetMode="External"/><Relationship Id="rId55" Type="http://schemas.openxmlformats.org/officeDocument/2006/relationships/image" Target="media/image4.png"/><Relationship Id="rId63"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eteor.aihw.gov.au/content/401081" TargetMode="External"/><Relationship Id="rId29" Type="http://schemas.openxmlformats.org/officeDocument/2006/relationships/hyperlink" Target="https://meteor.aihw.gov.au/content/656957" TargetMode="External"/><Relationship Id="rId11" Type="http://schemas.openxmlformats.org/officeDocument/2006/relationships/header" Target="header2.xml"/><Relationship Id="rId24" Type="http://schemas.openxmlformats.org/officeDocument/2006/relationships/hyperlink" Target="https://meteor.aihw.gov.au/content/738495" TargetMode="External"/><Relationship Id="rId32" Type="http://schemas.openxmlformats.org/officeDocument/2006/relationships/hyperlink" Target="https://meteor.aihw.gov.au/content/738503" TargetMode="External"/><Relationship Id="rId37" Type="http://schemas.openxmlformats.org/officeDocument/2006/relationships/hyperlink" Target="https://meteor.aihw.gov.au/content/734071" TargetMode="External"/><Relationship Id="rId40" Type="http://schemas.openxmlformats.org/officeDocument/2006/relationships/hyperlink" Target="https://meteor.aihw.gov.au/content/689064" TargetMode="External"/><Relationship Id="rId45" Type="http://schemas.openxmlformats.org/officeDocument/2006/relationships/hyperlink" Target="https://meteor.aihw.gov.au/content/742709" TargetMode="External"/><Relationship Id="rId53" Type="http://schemas.openxmlformats.org/officeDocument/2006/relationships/image" Target="media/image2.png"/><Relationship Id="rId58"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meteor.aihw.gov.au/content/746359" TargetMode="External"/><Relationship Id="rId14" Type="http://schemas.openxmlformats.org/officeDocument/2006/relationships/hyperlink" Target="https://meteor.aihw.gov.au/content/746359" TargetMode="External"/><Relationship Id="rId22" Type="http://schemas.openxmlformats.org/officeDocument/2006/relationships/hyperlink" Target="https://meteor.aihw.gov.au/content/656957" TargetMode="External"/><Relationship Id="rId27" Type="http://schemas.openxmlformats.org/officeDocument/2006/relationships/hyperlink" Target="https://meteor.aihw.gov.au/content/742718" TargetMode="External"/><Relationship Id="rId30" Type="http://schemas.openxmlformats.org/officeDocument/2006/relationships/hyperlink" Target="https://federalfinancialrelations.gov.au/agreements/national-housing-and-homelessness-agreement-0" TargetMode="External"/><Relationship Id="rId35" Type="http://schemas.openxmlformats.org/officeDocument/2006/relationships/hyperlink" Target="https://meteor.aihw.gov.au/content/401081" TargetMode="External"/><Relationship Id="rId43" Type="http://schemas.openxmlformats.org/officeDocument/2006/relationships/hyperlink" Target="https://meteor.aihw.gov.au/content/738495" TargetMode="External"/><Relationship Id="rId48" Type="http://schemas.openxmlformats.org/officeDocument/2006/relationships/hyperlink" Target="https://meteor.aihw.gov.au/content/656957" TargetMode="External"/><Relationship Id="rId56" Type="http://schemas.openxmlformats.org/officeDocument/2006/relationships/image" Target="media/image5.png"/><Relationship Id="rId64" Type="http://schemas.openxmlformats.org/officeDocument/2006/relationships/customXml" Target="../customXml/item3.xml"/><Relationship Id="rId8" Type="http://schemas.openxmlformats.org/officeDocument/2006/relationships/header" Target="header1.xm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meteor.aihw.gov.au/content/746061" TargetMode="External"/><Relationship Id="rId25" Type="http://schemas.openxmlformats.org/officeDocument/2006/relationships/hyperlink" Target="https://meteor.aihw.gov.au/content/742702" TargetMode="External"/><Relationship Id="rId33" Type="http://schemas.openxmlformats.org/officeDocument/2006/relationships/hyperlink" Target="https://meteor.aihw.gov.au/content/746359" TargetMode="External"/><Relationship Id="rId38" Type="http://schemas.openxmlformats.org/officeDocument/2006/relationships/hyperlink" Target="https://meteor.aihw.gov.au/content/746359" TargetMode="External"/><Relationship Id="rId46" Type="http://schemas.openxmlformats.org/officeDocument/2006/relationships/hyperlink" Target="https://meteor.aihw.gov.au/content/742718" TargetMode="External"/><Relationship Id="rId59" Type="http://schemas.openxmlformats.org/officeDocument/2006/relationships/footer" Target="footer5.xml"/><Relationship Id="rId20" Type="http://schemas.openxmlformats.org/officeDocument/2006/relationships/hyperlink" Target="https://meteor.aihw.gov.au/content/656957" TargetMode="External"/><Relationship Id="rId41" Type="http://schemas.openxmlformats.org/officeDocument/2006/relationships/hyperlink" Target="https://meteor.aihw.gov.au/content/656957" TargetMode="External"/><Relationship Id="rId54" Type="http://schemas.openxmlformats.org/officeDocument/2006/relationships/image" Target="media/image3.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teor.aihw.gov.au/content/327244" TargetMode="External"/><Relationship Id="rId23" Type="http://schemas.openxmlformats.org/officeDocument/2006/relationships/hyperlink" Target="https://meteor.aihw.gov.au/content/689064" TargetMode="External"/><Relationship Id="rId28" Type="http://schemas.openxmlformats.org/officeDocument/2006/relationships/hyperlink" Target="https://meteor.aihw.gov.au/content/742724" TargetMode="External"/><Relationship Id="rId36" Type="http://schemas.openxmlformats.org/officeDocument/2006/relationships/hyperlink" Target="https://meteor.aihw.gov.au/content/746061" TargetMode="External"/><Relationship Id="rId49" Type="http://schemas.openxmlformats.org/officeDocument/2006/relationships/hyperlink" Target="https://federalfinancialrelations.gov.au/agreements/national-housing-and-homelessness-agreement-0" TargetMode="External"/><Relationship Id="rId57" Type="http://schemas.openxmlformats.org/officeDocument/2006/relationships/image" Target="media/image6.png"/><Relationship Id="rId10" Type="http://schemas.openxmlformats.org/officeDocument/2006/relationships/footer" Target="footer2.xml"/><Relationship Id="rId31" Type="http://schemas.openxmlformats.org/officeDocument/2006/relationships/hyperlink" Target="https://meteor.aihw.gov.au/content/750434" TargetMode="External"/><Relationship Id="rId44" Type="http://schemas.openxmlformats.org/officeDocument/2006/relationships/hyperlink" Target="https://meteor.aihw.gov.au/content/742702" TargetMode="External"/><Relationship Id="rId52" Type="http://schemas.openxmlformats.org/officeDocument/2006/relationships/footer" Target="footer4.xml"/><Relationship Id="rId60" Type="http://schemas.openxmlformats.org/officeDocument/2006/relationships/footer" Target="footer6.xml"/><Relationship Id="rId65"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meteor.aihw.gov.au/content/401087" TargetMode="External"/><Relationship Id="rId18" Type="http://schemas.openxmlformats.org/officeDocument/2006/relationships/hyperlink" Target="https://meteor.aihw.gov.au/content/734071" TargetMode="External"/><Relationship Id="rId39" Type="http://schemas.openxmlformats.org/officeDocument/2006/relationships/hyperlink" Target="https://meteor.aihw.gov.au/content/65695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roject Document" ma:contentTypeID="0x010100B4A1F787F0C441AC878A307E051D262E0028FBBF775E32B748910777014542453E" ma:contentTypeVersion="1" ma:contentTypeDescription="AIHW Project Document" ma:contentTypeScope="" ma:versionID="2351da974bbaa0ef918cfa942d3c99b2">
  <xsd:schema xmlns:xsd="http://www.w3.org/2001/XMLSchema" xmlns:xs="http://www.w3.org/2001/XMLSchema" xmlns:p="http://schemas.microsoft.com/office/2006/metadata/properties" xmlns:ns2="f62e39ff-bc6c-4045-8827-cba69acddeac" targetNamespace="http://schemas.microsoft.com/office/2006/metadata/properties" ma:root="true" ma:fieldsID="315d583bbd211907e7f983e48e0141e2" ns2:_="">
    <xsd:import namespace="f62e39ff-bc6c-4045-8827-cba69acddeac"/>
    <xsd:element name="properties">
      <xsd:complexType>
        <xsd:sequence>
          <xsd:element name="documentManagement">
            <xsd:complexType>
              <xsd:all>
                <xsd:element ref="ns2:AIHW_PPR_ProjectCategory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e39ff-bc6c-4045-8827-cba69acddeac" elementFormDefault="qualified">
    <xsd:import namespace="http://schemas.microsoft.com/office/2006/documentManagement/types"/>
    <xsd:import namespace="http://schemas.microsoft.com/office/infopath/2007/PartnerControls"/>
    <xsd:element name="AIHW_PPR_ProjectCategoryLookup" ma:index="8" nillable="true" ma:displayName="Category" ma:description="" ma:list="{7ea70fac-3fbc-4869-9568-25dac51b6e24}" ma:internalName="AIHW_PPR_ProjectCategoryLookup" ma:showField="Title" ma:web="{f62e39ff-bc6c-4045-8827-cba69acdd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IHW_PPR_ProjectCategoryLookup xmlns="f62e39ff-bc6c-4045-8827-cba69acddeac"/>
  </documentManagement>
</p:properties>
</file>

<file path=customXml/itemProps1.xml><?xml version="1.0" encoding="utf-8"?>
<ds:datastoreItem xmlns:ds="http://schemas.openxmlformats.org/officeDocument/2006/customXml" ds:itemID="{CC8331CF-86B1-4246-9EA4-F117E1FF289A}">
  <ds:schemaRefs>
    <ds:schemaRef ds:uri="http://schemas.openxmlformats.org/officeDocument/2006/bibliography"/>
  </ds:schemaRefs>
</ds:datastoreItem>
</file>

<file path=customXml/itemProps2.xml><?xml version="1.0" encoding="utf-8"?>
<ds:datastoreItem xmlns:ds="http://schemas.openxmlformats.org/officeDocument/2006/customXml" ds:itemID="{E4032686-D6DF-49BA-BC84-04198D27AF54}"/>
</file>

<file path=customXml/itemProps3.xml><?xml version="1.0" encoding="utf-8"?>
<ds:datastoreItem xmlns:ds="http://schemas.openxmlformats.org/officeDocument/2006/customXml" ds:itemID="{473FEFCB-01D9-4F94-8336-1A34481C7E60}"/>
</file>

<file path=customXml/itemProps4.xml><?xml version="1.0" encoding="utf-8"?>
<ds:datastoreItem xmlns:ds="http://schemas.openxmlformats.org/officeDocument/2006/customXml" ds:itemID="{5BB8CDD7-6FD1-4F5E-887A-225F7A46B993}"/>
</file>

<file path=docProps/app.xml><?xml version="1.0" encoding="utf-8"?>
<Properties xmlns="http://schemas.openxmlformats.org/officeDocument/2006/extended-properties" xmlns:vt="http://schemas.openxmlformats.org/officeDocument/2006/docPropsVTypes">
  <Template>normal.dotm</Template>
  <TotalTime>0</TotalTime>
  <Pages>21</Pages>
  <Words>4423</Words>
  <Characters>31027</Characters>
  <Application>Microsoft Office Word</Application>
  <DocSecurity>0</DocSecurity>
  <Lines>258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2022-09-12T05:59:00Z</dcterms:created>
  <dcterms:modified xsi:type="dcterms:W3CDTF">2022-09-12T05:59:00Z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0x010100B4A1F787F0C441AC878A307E051D262E0028FBBF775E32B748910777014542453E</vt:lpwstr>
  </property>
</Properties>
</file>