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9C59" w14:textId="77777777" w:rsidR="002D5DA2" w:rsidRPr="00717AAF" w:rsidRDefault="002D5DA2" w:rsidP="002D5DA2">
      <w:pPr>
        <w:pStyle w:val="Heading2"/>
      </w:pPr>
      <w:bookmarkStart w:id="0" w:name="_Toc198641322"/>
      <w:r w:rsidRPr="00717AAF">
        <w:t xml:space="preserve">Attachment </w:t>
      </w:r>
      <w:r>
        <w:t>2</w:t>
      </w:r>
      <w:r w:rsidRPr="00717AAF">
        <w:t>: AIHW Confidentiality undertaking</w:t>
      </w:r>
      <w:bookmarkEnd w:id="0"/>
    </w:p>
    <w:tbl>
      <w:tblPr>
        <w:tblW w:w="9923" w:type="dxa"/>
        <w:tblInd w:w="-176" w:type="dxa"/>
        <w:tblLook w:val="00A0" w:firstRow="1" w:lastRow="0" w:firstColumn="1" w:lastColumn="0" w:noHBand="0" w:noVBand="0"/>
      </w:tblPr>
      <w:tblGrid>
        <w:gridCol w:w="2694"/>
        <w:gridCol w:w="7229"/>
      </w:tblGrid>
      <w:tr w:rsidR="002D5DA2" w:rsidRPr="00717AAF" w14:paraId="2083C484" w14:textId="77777777" w:rsidTr="00AE25F5">
        <w:trPr>
          <w:trHeight w:val="1278"/>
        </w:trPr>
        <w:tc>
          <w:tcPr>
            <w:tcW w:w="2694" w:type="dxa"/>
            <w:shd w:val="clear" w:color="auto" w:fill="auto"/>
          </w:tcPr>
          <w:p w14:paraId="3352DB6C" w14:textId="77777777" w:rsidR="002D5DA2" w:rsidRPr="00717AAF" w:rsidRDefault="002D5DA2" w:rsidP="00AE25F5">
            <w:pPr>
              <w:pStyle w:val="AIHWbodytext"/>
            </w:pPr>
            <w:r w:rsidRPr="00717AAF">
              <w:rPr>
                <w:noProof/>
                <w:lang w:eastAsia="en-AU"/>
              </w:rPr>
              <w:drawing>
                <wp:inline distT="0" distB="0" distL="0" distR="0" wp14:anchorId="7819483D" wp14:editId="7CF5520E">
                  <wp:extent cx="952500" cy="733425"/>
                  <wp:effectExtent l="0" t="0" r="0" b="9525"/>
                  <wp:docPr id="1435290423" name="Picture 1435290423" descr="AIHW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HW_stacked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7229" w:type="dxa"/>
            <w:shd w:val="clear" w:color="auto" w:fill="auto"/>
            <w:vAlign w:val="center"/>
          </w:tcPr>
          <w:p w14:paraId="0CB896F4" w14:textId="77777777" w:rsidR="002D5DA2" w:rsidRPr="00717AAF" w:rsidRDefault="002D5DA2" w:rsidP="00AE25F5">
            <w:pPr>
              <w:pStyle w:val="AIHWbodytext"/>
            </w:pPr>
            <w:r w:rsidRPr="00717AAF">
              <w:t>Confidentiality undertaking –</w:t>
            </w:r>
            <w:r w:rsidRPr="00717AAF">
              <w:br/>
              <w:t>staff, contractors and consultants</w:t>
            </w:r>
          </w:p>
        </w:tc>
      </w:tr>
    </w:tbl>
    <w:p w14:paraId="7A16C66E" w14:textId="77777777" w:rsidR="002D5DA2" w:rsidRPr="00717AAF" w:rsidRDefault="002D5DA2" w:rsidP="002D5DA2">
      <w:pPr>
        <w:pStyle w:val="AIHWbodytext"/>
        <w:tabs>
          <w:tab w:val="right" w:pos="9070"/>
        </w:tabs>
        <w:rPr>
          <w:b/>
        </w:rPr>
      </w:pPr>
      <w:r w:rsidRPr="00717AAF">
        <w:rPr>
          <w:b/>
        </w:rPr>
        <w:t>Instructions</w:t>
      </w:r>
      <w:r>
        <w:rPr>
          <w:b/>
        </w:rPr>
        <w:tab/>
      </w:r>
    </w:p>
    <w:p w14:paraId="56C758EE" w14:textId="77777777" w:rsidR="002D5DA2" w:rsidRPr="00717AAF" w:rsidRDefault="002D5DA2" w:rsidP="002D5DA2">
      <w:pPr>
        <w:pStyle w:val="AIHWbodytext"/>
      </w:pPr>
      <w:r w:rsidRPr="00717AAF">
        <w:rPr>
          <w:b/>
          <w:bCs/>
          <w:i/>
          <w:iCs/>
        </w:rPr>
        <w:t xml:space="preserve">This agreement is designed to be </w:t>
      </w:r>
      <w:r w:rsidRPr="00717AAF">
        <w:rPr>
          <w:b/>
          <w:bCs/>
          <w:i/>
          <w:iCs/>
          <w:u w:val="single"/>
        </w:rPr>
        <w:t>completed electronically</w:t>
      </w:r>
      <w:r w:rsidRPr="00717AAF">
        <w:rPr>
          <w:b/>
          <w:bCs/>
          <w:i/>
          <w:iCs/>
        </w:rPr>
        <w:t xml:space="preserve"> and then printed and authorised by the appropriate Unit Head or Delegate. </w:t>
      </w:r>
      <w:r w:rsidRPr="00717AAF">
        <w:t xml:space="preserve">Complete the form by entering the information in the fields provided. </w:t>
      </w:r>
    </w:p>
    <w:p w14:paraId="38AB7CC0" w14:textId="77777777" w:rsidR="002D5DA2" w:rsidRPr="00717AAF" w:rsidRDefault="002D5DA2" w:rsidP="00D97C34">
      <w:pPr>
        <w:pStyle w:val="AIHWbodytext"/>
        <w:numPr>
          <w:ilvl w:val="0"/>
          <w:numId w:val="22"/>
        </w:numPr>
      </w:pPr>
      <w:r w:rsidRPr="00717AAF">
        <w:t>All staff members, contractors</w:t>
      </w:r>
      <w:r>
        <w:t xml:space="preserve">, </w:t>
      </w:r>
      <w:r w:rsidRPr="00717AAF">
        <w:t>consultants (including those paid through a recruitment agency)</w:t>
      </w:r>
      <w:r>
        <w:t>, Working group/Advisory group members</w:t>
      </w:r>
      <w:r w:rsidRPr="00717AAF">
        <w:t xml:space="preserve"> and any other person being authorised to access AIHW ICT systems </w:t>
      </w:r>
      <w:r>
        <w:t xml:space="preserve">and/or approved aggregate output released from AIHW secure access environments (prior to third party release approval) </w:t>
      </w:r>
      <w:r w:rsidRPr="00717AAF">
        <w:t xml:space="preserve">must read and sign this agreement. </w:t>
      </w:r>
    </w:p>
    <w:tbl>
      <w:tblPr>
        <w:tblW w:w="9498" w:type="dxa"/>
        <w:tblInd w:w="-17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94"/>
        <w:gridCol w:w="6804"/>
      </w:tblGrid>
      <w:tr w:rsidR="002D5DA2" w:rsidRPr="00717AAF" w14:paraId="435779AD" w14:textId="77777777" w:rsidTr="00AE25F5">
        <w:tc>
          <w:tcPr>
            <w:tcW w:w="9498" w:type="dxa"/>
            <w:gridSpan w:val="2"/>
            <w:shd w:val="clear" w:color="auto" w:fill="F3F3F3"/>
          </w:tcPr>
          <w:p w14:paraId="25DDA6DF" w14:textId="77777777" w:rsidR="002D5DA2" w:rsidRPr="00717AAF" w:rsidRDefault="002D5DA2" w:rsidP="00AE25F5">
            <w:pPr>
              <w:pStyle w:val="AIHWbodytext"/>
              <w:rPr>
                <w:b/>
              </w:rPr>
            </w:pPr>
            <w:r w:rsidRPr="00717AAF">
              <w:rPr>
                <w:b/>
              </w:rPr>
              <w:t>Details</w:t>
            </w:r>
          </w:p>
        </w:tc>
      </w:tr>
      <w:tr w:rsidR="002D5DA2" w:rsidRPr="00717AAF" w14:paraId="7F2225BA" w14:textId="77777777" w:rsidTr="00AE25F5">
        <w:tc>
          <w:tcPr>
            <w:tcW w:w="2694" w:type="dxa"/>
            <w:vAlign w:val="center"/>
          </w:tcPr>
          <w:p w14:paraId="0DE3B253" w14:textId="77777777" w:rsidR="002D5DA2" w:rsidRPr="00717AAF" w:rsidRDefault="002D5DA2" w:rsidP="00AE25F5">
            <w:pPr>
              <w:pStyle w:val="AIHWbodytext"/>
            </w:pPr>
            <w:r w:rsidRPr="00717AAF">
              <w:t>Name (</w:t>
            </w:r>
            <w:r w:rsidRPr="00717AAF">
              <w:rPr>
                <w:b/>
              </w:rPr>
              <w:t>uppercase</w:t>
            </w:r>
            <w:r w:rsidRPr="00717AAF">
              <w:t>):</w:t>
            </w:r>
          </w:p>
        </w:tc>
        <w:tc>
          <w:tcPr>
            <w:tcW w:w="6804" w:type="dxa"/>
            <w:vAlign w:val="center"/>
          </w:tcPr>
          <w:p w14:paraId="733CD0C6" w14:textId="77777777" w:rsidR="002D5DA2" w:rsidRPr="00717AAF" w:rsidRDefault="002D5DA2" w:rsidP="00AE25F5">
            <w:pPr>
              <w:pStyle w:val="AIHWbodytext"/>
            </w:pPr>
            <w:r w:rsidRPr="00717AAF">
              <w:fldChar w:fldCharType="begin">
                <w:ffData>
                  <w:name w:val="Text9"/>
                  <w:enabled/>
                  <w:calcOnExit w:val="0"/>
                  <w:textInput>
                    <w:format w:val="UPPERCASE"/>
                  </w:textInput>
                </w:ffData>
              </w:fldChar>
            </w:r>
            <w:r w:rsidRPr="00717AAF">
              <w:instrText xml:space="preserve"> FORMTEXT </w:instrText>
            </w:r>
            <w:r w:rsidRPr="00717AAF">
              <w:fldChar w:fldCharType="separate"/>
            </w:r>
            <w:r w:rsidRPr="00717AAF">
              <w:t> </w:t>
            </w:r>
            <w:r w:rsidRPr="00717AAF">
              <w:t> </w:t>
            </w:r>
            <w:r w:rsidRPr="00717AAF">
              <w:t> </w:t>
            </w:r>
            <w:r w:rsidRPr="00717AAF">
              <w:t> </w:t>
            </w:r>
            <w:r w:rsidRPr="00717AAF">
              <w:t> </w:t>
            </w:r>
            <w:r w:rsidRPr="00717AAF">
              <w:fldChar w:fldCharType="end"/>
            </w:r>
          </w:p>
        </w:tc>
      </w:tr>
      <w:tr w:rsidR="002D5DA2" w:rsidRPr="00717AAF" w14:paraId="5EBA2B82" w14:textId="77777777" w:rsidTr="00AE25F5">
        <w:tc>
          <w:tcPr>
            <w:tcW w:w="2694" w:type="dxa"/>
            <w:vAlign w:val="center"/>
          </w:tcPr>
          <w:p w14:paraId="5C0E3CB1" w14:textId="77777777" w:rsidR="002D5DA2" w:rsidRPr="00717AAF" w:rsidRDefault="002D5DA2" w:rsidP="00AE25F5">
            <w:pPr>
              <w:pStyle w:val="AIHWbodytext"/>
            </w:pPr>
            <w:r w:rsidRPr="00717AAF">
              <w:t>Company / Agency name – if applicable (</w:t>
            </w:r>
            <w:r w:rsidRPr="00717AAF">
              <w:rPr>
                <w:b/>
              </w:rPr>
              <w:t>uppercase</w:t>
            </w:r>
            <w:r w:rsidRPr="00717AAF">
              <w:t>):</w:t>
            </w:r>
          </w:p>
        </w:tc>
        <w:tc>
          <w:tcPr>
            <w:tcW w:w="6804" w:type="dxa"/>
            <w:vAlign w:val="center"/>
          </w:tcPr>
          <w:p w14:paraId="293B3056" w14:textId="77777777" w:rsidR="002D5DA2" w:rsidRPr="00717AAF" w:rsidRDefault="002D5DA2" w:rsidP="00AE25F5">
            <w:pPr>
              <w:pStyle w:val="AIHWbodytext"/>
            </w:pPr>
            <w:r w:rsidRPr="00717AAF">
              <w:fldChar w:fldCharType="begin">
                <w:ffData>
                  <w:name w:val=""/>
                  <w:enabled/>
                  <w:calcOnExit w:val="0"/>
                  <w:textInput>
                    <w:format w:val="UPPERCASE"/>
                  </w:textInput>
                </w:ffData>
              </w:fldChar>
            </w:r>
            <w:r w:rsidRPr="00717AAF">
              <w:instrText xml:space="preserve"> FORMTEXT </w:instrText>
            </w:r>
            <w:r w:rsidRPr="00717AAF">
              <w:fldChar w:fldCharType="separate"/>
            </w:r>
            <w:r w:rsidRPr="00717AAF">
              <w:t> </w:t>
            </w:r>
            <w:r w:rsidRPr="00717AAF">
              <w:t> </w:t>
            </w:r>
            <w:r w:rsidRPr="00717AAF">
              <w:t> </w:t>
            </w:r>
            <w:r w:rsidRPr="00717AAF">
              <w:t> </w:t>
            </w:r>
            <w:r w:rsidRPr="00717AAF">
              <w:t> </w:t>
            </w:r>
            <w:r w:rsidRPr="00717AAF">
              <w:fldChar w:fldCharType="end"/>
            </w:r>
          </w:p>
        </w:tc>
      </w:tr>
    </w:tbl>
    <w:p w14:paraId="2723F305" w14:textId="77777777" w:rsidR="002D5DA2" w:rsidRDefault="002D5DA2" w:rsidP="00D97C34">
      <w:pPr>
        <w:pStyle w:val="AIHWbodytext"/>
        <w:numPr>
          <w:ilvl w:val="0"/>
          <w:numId w:val="31"/>
        </w:numPr>
      </w:pPr>
      <w:r w:rsidRPr="00717AAF">
        <w:t xml:space="preserve">I understand that the Australian Institute of Health and Welfare acquires and holds health- and welfare- related information which is ‘information concerning a person’ and which is subject to the provisions of section 29 of the </w:t>
      </w:r>
      <w:r w:rsidRPr="00717AAF">
        <w:rPr>
          <w:i/>
        </w:rPr>
        <w:t>Australian Institute of Health and Welfare Act 1987</w:t>
      </w:r>
      <w:r w:rsidRPr="00717AAF">
        <w:t xml:space="preserve"> (Attachment A). </w:t>
      </w:r>
    </w:p>
    <w:p w14:paraId="292EC3A9" w14:textId="77777777" w:rsidR="002D5DA2" w:rsidRPr="00E71EFA" w:rsidRDefault="002D5DA2" w:rsidP="00D97C34">
      <w:pPr>
        <w:pStyle w:val="ListParagraph"/>
        <w:numPr>
          <w:ilvl w:val="0"/>
          <w:numId w:val="31"/>
        </w:numPr>
        <w:spacing w:before="0" w:line="240" w:lineRule="auto"/>
        <w:contextualSpacing w:val="0"/>
        <w:rPr>
          <w:rFonts w:ascii="Arial" w:hAnsi="Arial"/>
          <w:szCs w:val="20"/>
          <w:lang w:eastAsia="en-US"/>
        </w:rPr>
      </w:pPr>
      <w:r w:rsidRPr="00E71EFA">
        <w:rPr>
          <w:rFonts w:ascii="Arial" w:hAnsi="Arial"/>
          <w:szCs w:val="20"/>
          <w:lang w:eastAsia="en-US"/>
        </w:rPr>
        <w:t>I agree to abide by the Governance protocols for the National Health Data Hub</w:t>
      </w:r>
      <w:r>
        <w:rPr>
          <w:rFonts w:ascii="Arial" w:hAnsi="Arial"/>
          <w:szCs w:val="20"/>
          <w:lang w:eastAsia="en-US"/>
        </w:rPr>
        <w:t xml:space="preserve"> (NHDH)</w:t>
      </w:r>
      <w:r w:rsidRPr="00E71EFA">
        <w:rPr>
          <w:rFonts w:ascii="Arial" w:hAnsi="Arial"/>
          <w:szCs w:val="20"/>
          <w:lang w:eastAsia="en-US"/>
        </w:rPr>
        <w:t xml:space="preserve"> and the requirements set out on the use of the </w:t>
      </w:r>
      <w:r>
        <w:rPr>
          <w:rFonts w:ascii="Arial" w:hAnsi="Arial"/>
          <w:szCs w:val="20"/>
          <w:lang w:eastAsia="en-US"/>
        </w:rPr>
        <w:t xml:space="preserve">NHDH </w:t>
      </w:r>
      <w:r w:rsidRPr="00E71EFA">
        <w:rPr>
          <w:rFonts w:ascii="Arial" w:hAnsi="Arial"/>
          <w:szCs w:val="20"/>
          <w:lang w:eastAsia="en-US"/>
        </w:rPr>
        <w:t xml:space="preserve">data. </w:t>
      </w:r>
    </w:p>
    <w:p w14:paraId="0214F0C2" w14:textId="77777777" w:rsidR="002D5DA2" w:rsidRPr="00717AAF" w:rsidRDefault="002D5DA2" w:rsidP="00D97C34">
      <w:pPr>
        <w:pStyle w:val="AIHWbodytext"/>
        <w:numPr>
          <w:ilvl w:val="0"/>
          <w:numId w:val="31"/>
        </w:numPr>
      </w:pPr>
      <w:r w:rsidRPr="00717AAF">
        <w:t xml:space="preserve">I understand that I may become an ‘informed person’ within the meaning of section 29 of the Act and that criminal penalties, including imprisonment, apply for improperly divulging or communicating information to which section 29 applies. </w:t>
      </w:r>
    </w:p>
    <w:p w14:paraId="7864E517" w14:textId="77777777" w:rsidR="002D5DA2" w:rsidRPr="00717AAF" w:rsidRDefault="002D5DA2" w:rsidP="00D97C34">
      <w:pPr>
        <w:pStyle w:val="AIHWbodytext"/>
        <w:numPr>
          <w:ilvl w:val="0"/>
          <w:numId w:val="31"/>
        </w:numPr>
      </w:pPr>
      <w:r w:rsidRPr="00717AAF">
        <w:t>I undertake that I will not directly or indirectly access, use, divulge, communicate or retain any information or statistics except as permitted by the Act and in accordance with my role.</w:t>
      </w:r>
    </w:p>
    <w:p w14:paraId="51B5A06A" w14:textId="77777777" w:rsidR="002D5DA2" w:rsidRPr="00717AAF" w:rsidRDefault="002D5DA2" w:rsidP="00D97C34">
      <w:pPr>
        <w:pStyle w:val="AIHWbodytext"/>
        <w:numPr>
          <w:ilvl w:val="0"/>
          <w:numId w:val="24"/>
        </w:numPr>
      </w:pPr>
      <w:r w:rsidRPr="00717AAF">
        <w:t xml:space="preserve">I understand that the Institute acquires and holds ‘personal information’ as defined in Section 6(1) of the </w:t>
      </w:r>
      <w:r w:rsidRPr="00717AAF">
        <w:rPr>
          <w:i/>
        </w:rPr>
        <w:t xml:space="preserve">Privacy Act 1988 </w:t>
      </w:r>
      <w:r w:rsidRPr="00717AAF">
        <w:t xml:space="preserve">(Cth). </w:t>
      </w:r>
    </w:p>
    <w:p w14:paraId="3FD7D30E" w14:textId="77777777" w:rsidR="002D5DA2" w:rsidRPr="00717AAF" w:rsidRDefault="002D5DA2" w:rsidP="00D97C34">
      <w:pPr>
        <w:pStyle w:val="AIHWbodytext"/>
        <w:numPr>
          <w:ilvl w:val="0"/>
          <w:numId w:val="24"/>
        </w:numPr>
      </w:pPr>
      <w:r w:rsidRPr="00717AAF">
        <w:t xml:space="preserve">I understand that personal information must be managed in accordance with the: Australian Privacy Principles in Schedule 1 of the Privacy Act, and associated guidelines and regulations, for example the </w:t>
      </w:r>
      <w:r w:rsidRPr="00717AAF">
        <w:rPr>
          <w:i/>
        </w:rPr>
        <w:t xml:space="preserve">Guidelines under section 95 of the Privacy Act 1988, </w:t>
      </w:r>
      <w:r w:rsidRPr="00717AAF">
        <w:t>and</w:t>
      </w:r>
    </w:p>
    <w:p w14:paraId="55C8A40A" w14:textId="77777777" w:rsidR="002D5DA2" w:rsidRDefault="002D5DA2" w:rsidP="002D5DA2">
      <w:pPr>
        <w:pStyle w:val="AIHWbodytext"/>
      </w:pPr>
      <w:r w:rsidRPr="00717AAF">
        <w:t>I agree to protect the confidentiality of personal information in accordance with these Acts and Guidelines.</w:t>
      </w:r>
    </w:p>
    <w:tbl>
      <w:tblPr>
        <w:tblW w:w="9498" w:type="dxa"/>
        <w:tblInd w:w="-17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27"/>
        <w:gridCol w:w="5954"/>
        <w:gridCol w:w="1417"/>
      </w:tblGrid>
      <w:tr w:rsidR="002D5DA2" w:rsidRPr="00717AAF" w14:paraId="69EE3831" w14:textId="77777777" w:rsidTr="00AE25F5">
        <w:tc>
          <w:tcPr>
            <w:tcW w:w="9498" w:type="dxa"/>
            <w:gridSpan w:val="3"/>
            <w:shd w:val="pct15" w:color="auto" w:fill="auto"/>
          </w:tcPr>
          <w:p w14:paraId="0D49F950" w14:textId="77777777" w:rsidR="002D5DA2" w:rsidRPr="00717AAF" w:rsidRDefault="002D5DA2" w:rsidP="00AE25F5">
            <w:pPr>
              <w:pStyle w:val="AIHWbodytext"/>
            </w:pPr>
            <w:r w:rsidRPr="00717AAF">
              <w:rPr>
                <w:b/>
              </w:rPr>
              <w:lastRenderedPageBreak/>
              <w:t>Executed as a Deed by:</w:t>
            </w:r>
          </w:p>
        </w:tc>
      </w:tr>
      <w:tr w:rsidR="002D5DA2" w:rsidRPr="00717AAF" w14:paraId="4592B4FC" w14:textId="77777777" w:rsidTr="00AE25F5">
        <w:tc>
          <w:tcPr>
            <w:tcW w:w="2127" w:type="dxa"/>
            <w:shd w:val="clear" w:color="auto" w:fill="auto"/>
          </w:tcPr>
          <w:p w14:paraId="72EEB09A" w14:textId="77777777" w:rsidR="002D5DA2" w:rsidRPr="00717AAF" w:rsidRDefault="002D5DA2" w:rsidP="00AE25F5">
            <w:pPr>
              <w:pStyle w:val="AIHWbodytext"/>
              <w:rPr>
                <w:b/>
              </w:rPr>
            </w:pPr>
            <w:r w:rsidRPr="00717AAF">
              <w:br/>
              <w:t>Signature:</w:t>
            </w:r>
          </w:p>
        </w:tc>
        <w:tc>
          <w:tcPr>
            <w:tcW w:w="5954" w:type="dxa"/>
            <w:shd w:val="clear" w:color="auto" w:fill="auto"/>
          </w:tcPr>
          <w:p w14:paraId="49F9E700" w14:textId="77777777" w:rsidR="002D5DA2" w:rsidRPr="00717AAF" w:rsidRDefault="002D5DA2" w:rsidP="00AE25F5">
            <w:pPr>
              <w:pStyle w:val="AIHWbodytext"/>
              <w:rPr>
                <w:b/>
              </w:rPr>
            </w:pPr>
          </w:p>
        </w:tc>
        <w:tc>
          <w:tcPr>
            <w:tcW w:w="1417" w:type="dxa"/>
            <w:shd w:val="clear" w:color="auto" w:fill="auto"/>
          </w:tcPr>
          <w:p w14:paraId="131FC9F0" w14:textId="77777777" w:rsidR="002D5DA2" w:rsidRPr="00717AAF" w:rsidRDefault="002D5DA2" w:rsidP="00AE25F5">
            <w:pPr>
              <w:pStyle w:val="AIHWbodytext"/>
              <w:rPr>
                <w:b/>
              </w:rPr>
            </w:pPr>
            <w:r w:rsidRPr="00717AAF">
              <w:br/>
              <w:t>Date:</w:t>
            </w:r>
            <w:r>
              <w:t xml:space="preserve">  </w:t>
            </w:r>
            <w:r w:rsidRPr="00717AAF">
              <w:t xml:space="preserve"> / </w:t>
            </w:r>
            <w:r>
              <w:t xml:space="preserve">  </w:t>
            </w:r>
            <w:r w:rsidRPr="00717AAF">
              <w:t>/</w:t>
            </w:r>
          </w:p>
        </w:tc>
      </w:tr>
      <w:tr w:rsidR="002D5DA2" w:rsidRPr="00717AAF" w14:paraId="390E5997" w14:textId="77777777" w:rsidTr="00AE25F5">
        <w:trPr>
          <w:trHeight w:val="454"/>
        </w:trPr>
        <w:tc>
          <w:tcPr>
            <w:tcW w:w="9498" w:type="dxa"/>
            <w:gridSpan w:val="3"/>
            <w:shd w:val="clear" w:color="auto" w:fill="E6E6E6"/>
            <w:vAlign w:val="center"/>
          </w:tcPr>
          <w:p w14:paraId="2835F540" w14:textId="77777777" w:rsidR="002D5DA2" w:rsidRPr="00717AAF" w:rsidRDefault="002D5DA2" w:rsidP="00AE25F5">
            <w:pPr>
              <w:pStyle w:val="AIHWbodytext"/>
            </w:pPr>
            <w:r w:rsidRPr="00717AAF">
              <w:rPr>
                <w:b/>
              </w:rPr>
              <w:t>Authorised and witnessed by:</w:t>
            </w:r>
          </w:p>
        </w:tc>
      </w:tr>
      <w:tr w:rsidR="002D5DA2" w:rsidRPr="00717AAF" w14:paraId="2311FBE6" w14:textId="77777777" w:rsidTr="00AE25F5">
        <w:trPr>
          <w:cantSplit/>
          <w:trHeight w:val="567"/>
        </w:trPr>
        <w:tc>
          <w:tcPr>
            <w:tcW w:w="2127" w:type="dxa"/>
            <w:vAlign w:val="center"/>
          </w:tcPr>
          <w:p w14:paraId="768FB850" w14:textId="77777777" w:rsidR="002D5DA2" w:rsidRPr="00717AAF" w:rsidRDefault="002D5DA2" w:rsidP="00AE25F5">
            <w:pPr>
              <w:pStyle w:val="AIHWbodytext"/>
              <w:rPr>
                <w:b/>
                <w:bCs/>
              </w:rPr>
            </w:pPr>
            <w:r w:rsidRPr="00717AAF">
              <w:t>Name in full</w:t>
            </w:r>
            <w:r w:rsidRPr="00717AAF">
              <w:rPr>
                <w:b/>
                <w:bCs/>
              </w:rPr>
              <w:t xml:space="preserve"> </w:t>
            </w:r>
            <w:r w:rsidRPr="00717AAF">
              <w:t>(</w:t>
            </w:r>
            <w:r w:rsidRPr="00717AAF">
              <w:rPr>
                <w:b/>
              </w:rPr>
              <w:t>uppercase</w:t>
            </w:r>
            <w:r w:rsidRPr="00717AAF">
              <w:t>):</w:t>
            </w:r>
          </w:p>
        </w:tc>
        <w:tc>
          <w:tcPr>
            <w:tcW w:w="7371" w:type="dxa"/>
            <w:gridSpan w:val="2"/>
            <w:vAlign w:val="center"/>
          </w:tcPr>
          <w:p w14:paraId="029ED9B1" w14:textId="77777777" w:rsidR="002D5DA2" w:rsidRPr="00717AAF" w:rsidRDefault="002D5DA2" w:rsidP="00AE25F5">
            <w:pPr>
              <w:pStyle w:val="AIHWbodytext"/>
            </w:pPr>
            <w:r w:rsidRPr="00717AAF">
              <w:fldChar w:fldCharType="begin">
                <w:ffData>
                  <w:name w:val=""/>
                  <w:enabled/>
                  <w:calcOnExit w:val="0"/>
                  <w:textInput>
                    <w:format w:val="UPPERCASE"/>
                  </w:textInput>
                </w:ffData>
              </w:fldChar>
            </w:r>
            <w:r w:rsidRPr="00717AAF">
              <w:instrText xml:space="preserve"> FORMTEXT </w:instrText>
            </w:r>
            <w:r w:rsidRPr="00717AAF">
              <w:fldChar w:fldCharType="separate"/>
            </w:r>
            <w:r w:rsidRPr="00717AAF">
              <w:t> </w:t>
            </w:r>
            <w:r w:rsidRPr="00717AAF">
              <w:t> </w:t>
            </w:r>
            <w:r w:rsidRPr="00717AAF">
              <w:t> </w:t>
            </w:r>
            <w:r w:rsidRPr="00717AAF">
              <w:t> </w:t>
            </w:r>
            <w:r w:rsidRPr="00717AAF">
              <w:t> </w:t>
            </w:r>
            <w:r w:rsidRPr="00717AAF">
              <w:fldChar w:fldCharType="end"/>
            </w:r>
          </w:p>
        </w:tc>
      </w:tr>
      <w:tr w:rsidR="002D5DA2" w:rsidRPr="00717AAF" w14:paraId="676B82AF" w14:textId="77777777" w:rsidTr="00AE25F5">
        <w:tc>
          <w:tcPr>
            <w:tcW w:w="8081" w:type="dxa"/>
            <w:gridSpan w:val="2"/>
          </w:tcPr>
          <w:p w14:paraId="03F95A90" w14:textId="77777777" w:rsidR="002D5DA2" w:rsidRPr="00717AAF" w:rsidRDefault="002D5DA2" w:rsidP="00AE25F5">
            <w:pPr>
              <w:pStyle w:val="AIHWbodytext"/>
              <w:rPr>
                <w:b/>
              </w:rPr>
            </w:pPr>
            <w:r w:rsidRPr="00717AAF">
              <w:br/>
              <w:t>Signature:</w:t>
            </w:r>
          </w:p>
        </w:tc>
        <w:tc>
          <w:tcPr>
            <w:tcW w:w="1417" w:type="dxa"/>
          </w:tcPr>
          <w:p w14:paraId="1013ECAE" w14:textId="77777777" w:rsidR="002D5DA2" w:rsidRPr="00717AAF" w:rsidRDefault="002D5DA2" w:rsidP="00AE25F5">
            <w:pPr>
              <w:pStyle w:val="AIHWbodytext"/>
              <w:rPr>
                <w:b/>
              </w:rPr>
            </w:pPr>
            <w:r w:rsidRPr="00717AAF">
              <w:br/>
              <w:t>Date:</w:t>
            </w:r>
            <w:r>
              <w:t xml:space="preserve">  </w:t>
            </w:r>
            <w:r w:rsidRPr="00717AAF">
              <w:t xml:space="preserve"> / </w:t>
            </w:r>
            <w:r>
              <w:t xml:space="preserve">  </w:t>
            </w:r>
            <w:r w:rsidRPr="00717AAF">
              <w:t>/</w:t>
            </w:r>
          </w:p>
        </w:tc>
      </w:tr>
    </w:tbl>
    <w:p w14:paraId="22816B9D" w14:textId="77777777" w:rsidR="002D5DA2" w:rsidRPr="00717AAF" w:rsidRDefault="002D5DA2" w:rsidP="002D5DA2">
      <w:pPr>
        <w:pStyle w:val="AIHWbodytext"/>
      </w:pPr>
      <w:r w:rsidRPr="00717AAF">
        <w:rPr>
          <w:b/>
          <w:bCs/>
        </w:rPr>
        <w:t>Attachments</w:t>
      </w:r>
    </w:p>
    <w:p w14:paraId="5A0A190F" w14:textId="77777777" w:rsidR="002D5DA2" w:rsidRPr="00717AAF" w:rsidRDefault="002D5DA2" w:rsidP="00D97C34">
      <w:pPr>
        <w:pStyle w:val="AIHWbodytext"/>
        <w:numPr>
          <w:ilvl w:val="0"/>
          <w:numId w:val="23"/>
        </w:numPr>
      </w:pPr>
      <w:r w:rsidRPr="00717AAF">
        <w:rPr>
          <w:b/>
        </w:rPr>
        <w:t>Confidentiality</w:t>
      </w:r>
      <w:r w:rsidRPr="00717AAF">
        <w:t xml:space="preserve"> - an extract from section 29 of the </w:t>
      </w:r>
      <w:r w:rsidRPr="00717AAF">
        <w:rPr>
          <w:i/>
        </w:rPr>
        <w:t>Australian Institute of Health and Welfare Act 1987</w:t>
      </w:r>
      <w:r w:rsidRPr="00717AAF">
        <w:t>.</w:t>
      </w:r>
    </w:p>
    <w:p w14:paraId="50704909" w14:textId="77777777" w:rsidR="002D5DA2" w:rsidRPr="00717AAF" w:rsidRDefault="002D5DA2" w:rsidP="00D97C34">
      <w:pPr>
        <w:pStyle w:val="AIHWbodytext"/>
        <w:numPr>
          <w:ilvl w:val="0"/>
          <w:numId w:val="23"/>
        </w:numPr>
      </w:pPr>
      <w:r w:rsidRPr="00717AAF">
        <w:rPr>
          <w:b/>
        </w:rPr>
        <w:t>Australian Privacy Principles</w:t>
      </w:r>
      <w:r w:rsidRPr="00717AAF">
        <w:t xml:space="preserve"> in the </w:t>
      </w:r>
      <w:hyperlink r:id="rId12" w:history="1">
        <w:r w:rsidRPr="00717AAF">
          <w:rPr>
            <w:rStyle w:val="Hyperlink"/>
            <w:i/>
          </w:rPr>
          <w:t>Privacy Act 1988</w:t>
        </w:r>
      </w:hyperlink>
      <w:r w:rsidRPr="00717AAF">
        <w:rPr>
          <w:i/>
        </w:rPr>
        <w:t xml:space="preserve"> </w:t>
      </w:r>
      <w:r w:rsidRPr="00717AAF">
        <w:t xml:space="preserve">Schedule 1 </w:t>
      </w:r>
      <w:r w:rsidRPr="00717AAF">
        <w:rPr>
          <w:b/>
        </w:rPr>
        <w:t>[print latest version and hand to signatory]</w:t>
      </w:r>
    </w:p>
    <w:p w14:paraId="7EAED062" w14:textId="77777777" w:rsidR="002D5DA2" w:rsidRPr="00717AAF" w:rsidRDefault="002D5DA2" w:rsidP="00D97C34">
      <w:pPr>
        <w:pStyle w:val="AIHWbodytext"/>
        <w:numPr>
          <w:ilvl w:val="0"/>
          <w:numId w:val="23"/>
        </w:numPr>
        <w:rPr>
          <w:b/>
        </w:rPr>
      </w:pPr>
      <w:r w:rsidRPr="00717AAF">
        <w:rPr>
          <w:b/>
          <w:i/>
        </w:rPr>
        <w:t>Guidelines under section 95 of the Privacy Act 1988</w:t>
      </w:r>
      <w:r w:rsidRPr="00717AAF">
        <w:rPr>
          <w:b/>
        </w:rPr>
        <w:t xml:space="preserve"> </w:t>
      </w:r>
      <w:r w:rsidRPr="00717AAF">
        <w:t>(NHMRC, 2014)</w:t>
      </w:r>
      <w:r w:rsidRPr="00717AAF">
        <w:br/>
      </w:r>
      <w:r w:rsidRPr="00EC1591">
        <w:t>https://www.nhmrc.gov.au/about-us/publications/guidelines-under-section-95-privacy-act-1988</w:t>
      </w:r>
      <w:r w:rsidRPr="00EC1591" w:rsidDel="00EC1591">
        <w:t xml:space="preserve"> </w:t>
      </w:r>
      <w:r w:rsidRPr="00717AAF">
        <w:rPr>
          <w:b/>
        </w:rPr>
        <w:t>[print latest version and hand to signatory]</w:t>
      </w:r>
    </w:p>
    <w:p w14:paraId="137D31F2" w14:textId="77777777" w:rsidR="002D5DA2" w:rsidRPr="00717AAF" w:rsidRDefault="002D5DA2" w:rsidP="002D5DA2">
      <w:pPr>
        <w:pStyle w:val="AIHWbodytext"/>
        <w:rPr>
          <w:b/>
        </w:rPr>
      </w:pPr>
    </w:p>
    <w:tbl>
      <w:tblPr>
        <w:tblW w:w="9214"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43"/>
        <w:gridCol w:w="5954"/>
        <w:gridCol w:w="1417"/>
      </w:tblGrid>
      <w:tr w:rsidR="002D5DA2" w:rsidRPr="00717AAF" w14:paraId="0B1BF597" w14:textId="77777777" w:rsidTr="00AE25F5">
        <w:trPr>
          <w:trHeight w:val="454"/>
        </w:trPr>
        <w:tc>
          <w:tcPr>
            <w:tcW w:w="9214" w:type="dxa"/>
            <w:gridSpan w:val="3"/>
            <w:shd w:val="clear" w:color="auto" w:fill="E6E6E6"/>
            <w:vAlign w:val="center"/>
          </w:tcPr>
          <w:p w14:paraId="44F1CB95" w14:textId="77777777" w:rsidR="002D5DA2" w:rsidRPr="00717AAF" w:rsidRDefault="002D5DA2" w:rsidP="00AE25F5">
            <w:pPr>
              <w:pStyle w:val="AIHWbodytext"/>
            </w:pPr>
            <w:r w:rsidRPr="00717AAF">
              <w:rPr>
                <w:b/>
              </w:rPr>
              <w:t>ICT Servicedesk use only:</w:t>
            </w:r>
          </w:p>
        </w:tc>
      </w:tr>
      <w:tr w:rsidR="002D5DA2" w:rsidRPr="00717AAF" w14:paraId="4A8AA3C3" w14:textId="77777777" w:rsidTr="00AE25F5">
        <w:trPr>
          <w:cantSplit/>
        </w:trPr>
        <w:tc>
          <w:tcPr>
            <w:tcW w:w="1843" w:type="dxa"/>
            <w:vAlign w:val="center"/>
          </w:tcPr>
          <w:p w14:paraId="4AA948E5" w14:textId="77777777" w:rsidR="002D5DA2" w:rsidRPr="00717AAF" w:rsidRDefault="002D5DA2" w:rsidP="00AE25F5">
            <w:pPr>
              <w:pStyle w:val="AIHWbodytext"/>
              <w:rPr>
                <w:b/>
                <w:bCs/>
              </w:rPr>
            </w:pPr>
            <w:r w:rsidRPr="00717AAF">
              <w:t>Date received:</w:t>
            </w:r>
          </w:p>
        </w:tc>
        <w:tc>
          <w:tcPr>
            <w:tcW w:w="7371" w:type="dxa"/>
            <w:gridSpan w:val="2"/>
            <w:vAlign w:val="center"/>
          </w:tcPr>
          <w:p w14:paraId="5B5E4504" w14:textId="77777777" w:rsidR="002D5DA2" w:rsidRPr="00717AAF" w:rsidRDefault="002D5DA2" w:rsidP="00AE25F5">
            <w:pPr>
              <w:pStyle w:val="AIHWbodytext"/>
            </w:pPr>
            <w:r>
              <w:t xml:space="preserve">  </w:t>
            </w:r>
            <w:r w:rsidRPr="00717AAF">
              <w:t xml:space="preserve"> /</w:t>
            </w:r>
            <w:r>
              <w:t xml:space="preserve">   </w:t>
            </w:r>
            <w:r w:rsidRPr="00717AAF">
              <w:t xml:space="preserve"> / </w:t>
            </w:r>
          </w:p>
        </w:tc>
      </w:tr>
      <w:tr w:rsidR="002D5DA2" w:rsidRPr="00717AAF" w14:paraId="7940FE39" w14:textId="77777777" w:rsidTr="00AE25F5">
        <w:tc>
          <w:tcPr>
            <w:tcW w:w="7797" w:type="dxa"/>
            <w:gridSpan w:val="2"/>
          </w:tcPr>
          <w:p w14:paraId="43B94C9A" w14:textId="77777777" w:rsidR="002D5DA2" w:rsidRPr="00717AAF" w:rsidRDefault="002D5DA2" w:rsidP="00AE25F5">
            <w:pPr>
              <w:pStyle w:val="AIHWbodytext"/>
              <w:rPr>
                <w:b/>
              </w:rPr>
            </w:pPr>
            <w:r w:rsidRPr="00717AAF">
              <w:t xml:space="preserve">Name of actioner: </w:t>
            </w:r>
            <w:r w:rsidRPr="00717AAF">
              <w:fldChar w:fldCharType="begin">
                <w:ffData>
                  <w:name w:val=""/>
                  <w:enabled/>
                  <w:calcOnExit w:val="0"/>
                  <w:textInput>
                    <w:format w:val="UPPERCASE"/>
                  </w:textInput>
                </w:ffData>
              </w:fldChar>
            </w:r>
            <w:r w:rsidRPr="00717AAF">
              <w:instrText xml:space="preserve"> FORMTEXT </w:instrText>
            </w:r>
            <w:r w:rsidRPr="00717AAF">
              <w:fldChar w:fldCharType="separate"/>
            </w:r>
            <w:r w:rsidRPr="00717AAF">
              <w:t> </w:t>
            </w:r>
            <w:r w:rsidRPr="00717AAF">
              <w:t> </w:t>
            </w:r>
            <w:r w:rsidRPr="00717AAF">
              <w:t> </w:t>
            </w:r>
            <w:r w:rsidRPr="00717AAF">
              <w:t> </w:t>
            </w:r>
            <w:r w:rsidRPr="00717AAF">
              <w:t> </w:t>
            </w:r>
            <w:r w:rsidRPr="00717AAF">
              <w:fldChar w:fldCharType="end"/>
            </w:r>
          </w:p>
        </w:tc>
        <w:tc>
          <w:tcPr>
            <w:tcW w:w="1417" w:type="dxa"/>
          </w:tcPr>
          <w:p w14:paraId="36BC84D7" w14:textId="77777777" w:rsidR="002D5DA2" w:rsidRPr="00717AAF" w:rsidRDefault="002D5DA2" w:rsidP="00AE25F5">
            <w:pPr>
              <w:pStyle w:val="AIHWbodytext"/>
              <w:rPr>
                <w:b/>
              </w:rPr>
            </w:pPr>
            <w:r w:rsidRPr="00717AAF">
              <w:t>Date:</w:t>
            </w:r>
            <w:r>
              <w:t xml:space="preserve">  </w:t>
            </w:r>
            <w:r w:rsidRPr="00717AAF">
              <w:t xml:space="preserve"> / </w:t>
            </w:r>
            <w:r>
              <w:t xml:space="preserve">  </w:t>
            </w:r>
            <w:r w:rsidRPr="00717AAF">
              <w:t xml:space="preserve">/ </w:t>
            </w:r>
          </w:p>
        </w:tc>
      </w:tr>
    </w:tbl>
    <w:p w14:paraId="4D65D3E8" w14:textId="77777777" w:rsidR="002D5DA2" w:rsidRPr="00717AAF" w:rsidRDefault="002D5DA2" w:rsidP="002D5DA2">
      <w:pPr>
        <w:pStyle w:val="AIHWbodytext"/>
        <w:rPr>
          <w:b/>
          <w:bCs/>
        </w:rPr>
      </w:pPr>
    </w:p>
    <w:p w14:paraId="567F4738" w14:textId="77777777" w:rsidR="002D5DA2" w:rsidRPr="00717AAF" w:rsidRDefault="002D5DA2" w:rsidP="002D5DA2">
      <w:pPr>
        <w:pStyle w:val="AIHWbodytext"/>
        <w:rPr>
          <w:b/>
          <w:bCs/>
        </w:rPr>
      </w:pPr>
      <w:r w:rsidRPr="00717AAF">
        <w:rPr>
          <w:b/>
          <w:bCs/>
        </w:rPr>
        <w:t xml:space="preserve">Attachment A: Section 29 of the </w:t>
      </w:r>
      <w:r w:rsidRPr="00717AAF">
        <w:rPr>
          <w:b/>
          <w:bCs/>
          <w:i/>
        </w:rPr>
        <w:t>Australian Institute of Health and Welfare Act 1987</w:t>
      </w:r>
    </w:p>
    <w:p w14:paraId="6BDC044F" w14:textId="77777777" w:rsidR="002D5DA2" w:rsidRPr="00717AAF" w:rsidRDefault="002D5DA2" w:rsidP="00D97C34">
      <w:pPr>
        <w:pStyle w:val="AIHWbodytext"/>
        <w:numPr>
          <w:ilvl w:val="0"/>
          <w:numId w:val="28"/>
        </w:numPr>
        <w:ind w:left="181" w:hanging="181"/>
        <w:rPr>
          <w:b/>
          <w:bCs/>
        </w:rPr>
      </w:pPr>
      <w:r w:rsidRPr="00717AAF">
        <w:rPr>
          <w:b/>
          <w:bCs/>
        </w:rPr>
        <w:t>29 Confidentiality</w:t>
      </w:r>
    </w:p>
    <w:p w14:paraId="729E4A26" w14:textId="77777777" w:rsidR="002D5DA2" w:rsidRPr="00717AAF" w:rsidRDefault="002D5DA2" w:rsidP="00D97C34">
      <w:pPr>
        <w:pStyle w:val="AIHWbodytext"/>
        <w:numPr>
          <w:ilvl w:val="0"/>
          <w:numId w:val="26"/>
        </w:numPr>
      </w:pPr>
      <w:r w:rsidRPr="00717AAF">
        <w:t xml:space="preserve">Subject to this section, a person (in this subsection called the </w:t>
      </w:r>
      <w:r w:rsidRPr="00717AAF">
        <w:rPr>
          <w:b/>
          <w:i/>
        </w:rPr>
        <w:t>informed person</w:t>
      </w:r>
      <w:r w:rsidRPr="00717AAF">
        <w:t>) who has:</w:t>
      </w:r>
    </w:p>
    <w:p w14:paraId="3D8F92F5" w14:textId="77777777" w:rsidR="002D5DA2" w:rsidRPr="00717AAF" w:rsidRDefault="002D5DA2" w:rsidP="00D97C34">
      <w:pPr>
        <w:pStyle w:val="AIHWbodytext"/>
        <w:numPr>
          <w:ilvl w:val="1"/>
          <w:numId w:val="26"/>
        </w:numPr>
      </w:pPr>
      <w:r w:rsidRPr="00717AAF">
        <w:t xml:space="preserve">any information concerning another person (which person is in this section called an </w:t>
      </w:r>
      <w:r w:rsidRPr="00717AAF">
        <w:rPr>
          <w:b/>
          <w:i/>
        </w:rPr>
        <w:t>information subject</w:t>
      </w:r>
      <w:r w:rsidRPr="00717AAF">
        <w:t>), being information acquired by the informed person because of:</w:t>
      </w:r>
    </w:p>
    <w:p w14:paraId="4805A449" w14:textId="77777777" w:rsidR="002D5DA2" w:rsidRPr="00717AAF" w:rsidRDefault="002D5DA2" w:rsidP="00D97C34">
      <w:pPr>
        <w:pStyle w:val="AIHWbodytext"/>
        <w:numPr>
          <w:ilvl w:val="0"/>
          <w:numId w:val="30"/>
        </w:numPr>
      </w:pPr>
      <w:r w:rsidRPr="00717AAF">
        <w:t>holding an office, engagement or appointment, or being employed, under this Act.</w:t>
      </w:r>
    </w:p>
    <w:p w14:paraId="1B7C51D9" w14:textId="77777777" w:rsidR="002D5DA2" w:rsidRPr="00717AAF" w:rsidRDefault="002D5DA2" w:rsidP="00D97C34">
      <w:pPr>
        <w:pStyle w:val="AIHWbodytext"/>
        <w:numPr>
          <w:ilvl w:val="0"/>
          <w:numId w:val="30"/>
        </w:numPr>
      </w:pPr>
      <w:r w:rsidRPr="00717AAF">
        <w:t>performing a duty or function, or exercising a power, under or in connection with this Act; or</w:t>
      </w:r>
    </w:p>
    <w:p w14:paraId="0B5CB6B2" w14:textId="77777777" w:rsidR="002D5DA2" w:rsidRPr="00717AAF" w:rsidRDefault="002D5DA2" w:rsidP="00D97C34">
      <w:pPr>
        <w:pStyle w:val="AIHWbodytext"/>
        <w:numPr>
          <w:ilvl w:val="0"/>
          <w:numId w:val="30"/>
        </w:numPr>
      </w:pPr>
      <w:r w:rsidRPr="00717AAF">
        <w:t>doing any act or thing under an agreement or arrangement entered into by the Institute; or</w:t>
      </w:r>
    </w:p>
    <w:p w14:paraId="7ED97B5D" w14:textId="77777777" w:rsidR="002D5DA2" w:rsidRDefault="002D5DA2" w:rsidP="00D97C34">
      <w:pPr>
        <w:pStyle w:val="AIHWbodytext"/>
        <w:numPr>
          <w:ilvl w:val="1"/>
          <w:numId w:val="26"/>
        </w:numPr>
      </w:pPr>
      <w:r w:rsidRPr="00717AAF">
        <w:t xml:space="preserve">any document relating to another person (which person is in this section also called an </w:t>
      </w:r>
      <w:r w:rsidRPr="00717AAF">
        <w:rPr>
          <w:b/>
          <w:i/>
        </w:rPr>
        <w:t>information subject</w:t>
      </w:r>
      <w:r w:rsidRPr="00717AAF">
        <w:t xml:space="preserve">), being a document furnished for the purposes of this Act. </w:t>
      </w:r>
    </w:p>
    <w:p w14:paraId="785EA188" w14:textId="77777777" w:rsidR="002D5DA2" w:rsidRPr="00717AAF" w:rsidRDefault="002D5DA2" w:rsidP="002D5DA2">
      <w:pPr>
        <w:pStyle w:val="AIHWbodytext"/>
        <w:ind w:left="1080"/>
      </w:pPr>
      <w:r w:rsidRPr="00717AAF">
        <w:lastRenderedPageBreak/>
        <w:t>shall not, except for the purposes of this Act, either directly or indirectly:</w:t>
      </w:r>
    </w:p>
    <w:p w14:paraId="6167DD42" w14:textId="77777777" w:rsidR="002D5DA2" w:rsidRPr="00717AAF" w:rsidRDefault="002D5DA2" w:rsidP="00D97C34">
      <w:pPr>
        <w:pStyle w:val="AIHWbodytext"/>
        <w:numPr>
          <w:ilvl w:val="1"/>
          <w:numId w:val="26"/>
        </w:numPr>
      </w:pPr>
      <w:r w:rsidRPr="00717AAF">
        <w:t>make a record of any of that information or divulge or communicate any of that information to any person (including an information subject).</w:t>
      </w:r>
    </w:p>
    <w:p w14:paraId="68A01ABF" w14:textId="77777777" w:rsidR="002D5DA2" w:rsidRPr="00717AAF" w:rsidRDefault="002D5DA2" w:rsidP="00D97C34">
      <w:pPr>
        <w:pStyle w:val="AIHWbodytext"/>
        <w:numPr>
          <w:ilvl w:val="1"/>
          <w:numId w:val="26"/>
        </w:numPr>
      </w:pPr>
      <w:r w:rsidRPr="00717AAF">
        <w:t>produce that document to any person (including an information subject); or</w:t>
      </w:r>
    </w:p>
    <w:p w14:paraId="612EEF32" w14:textId="77777777" w:rsidR="002D5DA2" w:rsidRPr="00717AAF" w:rsidRDefault="002D5DA2" w:rsidP="00D97C34">
      <w:pPr>
        <w:pStyle w:val="AIHWbodytext"/>
        <w:numPr>
          <w:ilvl w:val="1"/>
          <w:numId w:val="26"/>
        </w:numPr>
      </w:pPr>
      <w:r w:rsidRPr="00717AAF">
        <w:t>be required to divulge or communicate any of that information to a court or to produce that document in a court.</w:t>
      </w:r>
    </w:p>
    <w:p w14:paraId="609B3AE3" w14:textId="77777777" w:rsidR="002D5DA2" w:rsidRPr="00717AAF" w:rsidRDefault="002D5DA2" w:rsidP="002D5DA2">
      <w:pPr>
        <w:pStyle w:val="AIHWbodytext"/>
      </w:pPr>
      <w:r w:rsidRPr="00717AAF">
        <w:t>Penalty: $2,000 or imprisonment for 12 months, or both.</w:t>
      </w:r>
    </w:p>
    <w:p w14:paraId="3E2EFB9E" w14:textId="77777777" w:rsidR="002D5DA2" w:rsidRPr="00717AAF" w:rsidRDefault="002D5DA2" w:rsidP="00D97C34">
      <w:pPr>
        <w:pStyle w:val="AIHWbodytext"/>
        <w:numPr>
          <w:ilvl w:val="0"/>
          <w:numId w:val="26"/>
        </w:numPr>
      </w:pPr>
      <w:r w:rsidRPr="00717AAF">
        <w:t>Subject to subsections (2A) and (2B), nothing in this section prohibits:</w:t>
      </w:r>
    </w:p>
    <w:p w14:paraId="2B77BE7B" w14:textId="77777777" w:rsidR="002D5DA2" w:rsidRPr="00717AAF" w:rsidRDefault="002D5DA2" w:rsidP="00D97C34">
      <w:pPr>
        <w:pStyle w:val="AIHWbodytext"/>
        <w:numPr>
          <w:ilvl w:val="1"/>
          <w:numId w:val="26"/>
        </w:numPr>
      </w:pPr>
      <w:r w:rsidRPr="00717AAF">
        <w:t>a person from divulging or communicating information, or producing a document, to the Minister if it does not identify an information subject.</w:t>
      </w:r>
    </w:p>
    <w:p w14:paraId="2BD3459C" w14:textId="77777777" w:rsidR="002D5DA2" w:rsidRPr="00717AAF" w:rsidRDefault="002D5DA2" w:rsidP="00D97C34">
      <w:pPr>
        <w:pStyle w:val="AIHWbodytext"/>
        <w:numPr>
          <w:ilvl w:val="1"/>
          <w:numId w:val="26"/>
        </w:numPr>
      </w:pPr>
      <w:r w:rsidRPr="00717AAF">
        <w:t xml:space="preserve">a person from divulging or communicating information, or producing a document, to a person specified in writing by the person (in this subsection called the </w:t>
      </w:r>
      <w:r w:rsidRPr="00717AAF">
        <w:rPr>
          <w:b/>
          <w:i/>
        </w:rPr>
        <w:t>information provider</w:t>
      </w:r>
      <w:r w:rsidRPr="00717AAF">
        <w:t>) who divulged or communicated the information, or produced the document, directly to the Institute.</w:t>
      </w:r>
    </w:p>
    <w:p w14:paraId="63222BBD" w14:textId="77777777" w:rsidR="002D5DA2" w:rsidRPr="00717AAF" w:rsidRDefault="002D5DA2" w:rsidP="00D97C34">
      <w:pPr>
        <w:pStyle w:val="AIHWbodytext"/>
        <w:numPr>
          <w:ilvl w:val="1"/>
          <w:numId w:val="26"/>
        </w:numPr>
      </w:pPr>
      <w:r w:rsidRPr="00717AAF">
        <w:t>a person from divulging or communicating information, or producing a document, to a person specified in writing by the Ethics Committee if to do so is not contrary to the written terms and conditions (if any) upon which the information provider divulged or communicated the information, or produced the document, directly to the Institute; or</w:t>
      </w:r>
    </w:p>
    <w:p w14:paraId="30F4E919" w14:textId="77777777" w:rsidR="002D5DA2" w:rsidRPr="00717AAF" w:rsidRDefault="002D5DA2" w:rsidP="00D97C34">
      <w:pPr>
        <w:pStyle w:val="AIHWbodytext"/>
        <w:numPr>
          <w:ilvl w:val="1"/>
          <w:numId w:val="26"/>
        </w:numPr>
      </w:pPr>
      <w:r w:rsidRPr="00717AAF">
        <w:t>the publication of conclusions based on statistics derived from, or of particulars of procedures used in, the work of the Institute, if:</w:t>
      </w:r>
    </w:p>
    <w:p w14:paraId="3E9F2C17" w14:textId="77777777" w:rsidR="002D5DA2" w:rsidRPr="00717AAF" w:rsidRDefault="002D5DA2" w:rsidP="00D97C34">
      <w:pPr>
        <w:pStyle w:val="AIHWbodytext"/>
        <w:numPr>
          <w:ilvl w:val="1"/>
          <w:numId w:val="25"/>
        </w:numPr>
        <w:ind w:left="2154" w:hanging="357"/>
      </w:pPr>
      <w:r w:rsidRPr="00717AAF">
        <w:t>to do so is not contrary to the written terms and conditions (if any) upon which an information provider divulged or communicated information relevant to the publication, or produced a document relevant to the publication, directly to the Institute; and</w:t>
      </w:r>
    </w:p>
    <w:p w14:paraId="7B6B372F" w14:textId="77777777" w:rsidR="002D5DA2" w:rsidRPr="00717AAF" w:rsidRDefault="002D5DA2" w:rsidP="00D97C34">
      <w:pPr>
        <w:pStyle w:val="AIHWbodytext"/>
        <w:numPr>
          <w:ilvl w:val="1"/>
          <w:numId w:val="25"/>
        </w:numPr>
        <w:ind w:left="2154" w:hanging="357"/>
      </w:pPr>
      <w:r w:rsidRPr="00717AAF">
        <w:t>the publication does not identify the information subject.</w:t>
      </w:r>
    </w:p>
    <w:p w14:paraId="5B30F531" w14:textId="77777777" w:rsidR="002D5DA2" w:rsidRPr="00717AAF" w:rsidRDefault="002D5DA2" w:rsidP="00D97C34">
      <w:pPr>
        <w:pStyle w:val="AIHWbodytext"/>
        <w:numPr>
          <w:ilvl w:val="0"/>
          <w:numId w:val="27"/>
        </w:numPr>
        <w:ind w:left="811" w:hanging="454"/>
      </w:pPr>
      <w:r w:rsidRPr="00717AAF">
        <w:t>Paragraph (2)(c) applies only to information that is health</w:t>
      </w:r>
      <w:r w:rsidRPr="00717AAF">
        <w:noBreakHyphen/>
        <w:t>related or welfare</w:t>
      </w:r>
      <w:r w:rsidRPr="00717AAF">
        <w:noBreakHyphen/>
        <w:t>related information and statistics.</w:t>
      </w:r>
    </w:p>
    <w:p w14:paraId="003B4108" w14:textId="77777777" w:rsidR="002D5DA2" w:rsidRPr="00717AAF" w:rsidRDefault="002D5DA2" w:rsidP="00D97C34">
      <w:pPr>
        <w:pStyle w:val="AIHWbodytext"/>
        <w:numPr>
          <w:ilvl w:val="0"/>
          <w:numId w:val="27"/>
        </w:numPr>
        <w:ind w:left="811" w:hanging="454"/>
      </w:pPr>
      <w:r w:rsidRPr="00717AAF">
        <w:t>Paragraph (2)(c) applies to a document only to the extent to which the document contains health</w:t>
      </w:r>
      <w:r w:rsidRPr="00717AAF">
        <w:noBreakHyphen/>
        <w:t>related or welfare</w:t>
      </w:r>
      <w:r w:rsidRPr="00717AAF">
        <w:noBreakHyphen/>
        <w:t>related information and statistics.</w:t>
      </w:r>
    </w:p>
    <w:p w14:paraId="7C3A766B" w14:textId="77777777" w:rsidR="002D5DA2" w:rsidRDefault="002D5DA2" w:rsidP="00D97C34">
      <w:pPr>
        <w:pStyle w:val="AIHWbodytext"/>
        <w:numPr>
          <w:ilvl w:val="0"/>
          <w:numId w:val="26"/>
        </w:numPr>
      </w:pPr>
      <w:r w:rsidRPr="00717AAF">
        <w:t>A person to whom information is divulged or communicated, or a document is produced, under paragraph (2)(a), (b) or (c), and any person under the control of that person is, in respect of that information or document, subject to subsection (1) as if the person were a person exercising powers, or performing duties or functions, under this Act and had acquired the information or document in the exercise of those powers or the performance of those duties or functions.</w:t>
      </w:r>
    </w:p>
    <w:p w14:paraId="69DDCEA5" w14:textId="77777777" w:rsidR="002D5DA2" w:rsidRPr="00717AAF" w:rsidRDefault="002D5DA2" w:rsidP="00D97C34">
      <w:pPr>
        <w:pStyle w:val="AIHWbodytext"/>
        <w:numPr>
          <w:ilvl w:val="0"/>
          <w:numId w:val="26"/>
        </w:numPr>
      </w:pPr>
      <w:r w:rsidRPr="00717AAF">
        <w:t>In this section:</w:t>
      </w:r>
    </w:p>
    <w:p w14:paraId="7D4D8E31" w14:textId="77777777" w:rsidR="002D5DA2" w:rsidRPr="00717AAF" w:rsidRDefault="002D5DA2" w:rsidP="00D97C34">
      <w:pPr>
        <w:pStyle w:val="AIHWbodytext"/>
        <w:numPr>
          <w:ilvl w:val="1"/>
          <w:numId w:val="26"/>
        </w:numPr>
      </w:pPr>
      <w:r w:rsidRPr="00717AAF">
        <w:rPr>
          <w:b/>
          <w:i/>
        </w:rPr>
        <w:t>court</w:t>
      </w:r>
      <w:r w:rsidRPr="00717AAF">
        <w:t xml:space="preserve"> includes any tribunal, authority or person having power to require the production of documents or the answering of questions.</w:t>
      </w:r>
    </w:p>
    <w:p w14:paraId="2354F07A" w14:textId="77777777" w:rsidR="002D5DA2" w:rsidRPr="00717AAF" w:rsidRDefault="002D5DA2" w:rsidP="00D97C34">
      <w:pPr>
        <w:pStyle w:val="AIHWbodytext"/>
        <w:numPr>
          <w:ilvl w:val="1"/>
          <w:numId w:val="26"/>
        </w:numPr>
      </w:pPr>
      <w:r w:rsidRPr="00717AAF">
        <w:rPr>
          <w:b/>
          <w:i/>
        </w:rPr>
        <w:t>person</w:t>
      </w:r>
      <w:r w:rsidRPr="00717AAF">
        <w:t xml:space="preserve"> includes a body or association of persons, whether incorporated or not, and also includes:</w:t>
      </w:r>
    </w:p>
    <w:p w14:paraId="0C9A49C5" w14:textId="77777777" w:rsidR="002D5DA2" w:rsidRPr="00717AAF" w:rsidRDefault="002D5DA2" w:rsidP="00D97C34">
      <w:pPr>
        <w:pStyle w:val="AIHWbodytext"/>
        <w:numPr>
          <w:ilvl w:val="2"/>
          <w:numId w:val="26"/>
        </w:numPr>
        <w:ind w:left="2342" w:hanging="357"/>
      </w:pPr>
      <w:r w:rsidRPr="00717AAF">
        <w:t>in the case of an information provider—a body politic; or</w:t>
      </w:r>
    </w:p>
    <w:p w14:paraId="160CCF0E" w14:textId="77777777" w:rsidR="002D5DA2" w:rsidRPr="00717AAF" w:rsidRDefault="002D5DA2" w:rsidP="00D97C34">
      <w:pPr>
        <w:pStyle w:val="AIHWbodytext"/>
        <w:numPr>
          <w:ilvl w:val="2"/>
          <w:numId w:val="26"/>
        </w:numPr>
        <w:ind w:left="2342" w:hanging="357"/>
      </w:pPr>
      <w:r w:rsidRPr="00717AAF">
        <w:t>in the case of an information subject—a deceased person.</w:t>
      </w:r>
    </w:p>
    <w:p w14:paraId="04700051" w14:textId="77777777" w:rsidR="002D5DA2" w:rsidRPr="00717AAF" w:rsidRDefault="002D5DA2" w:rsidP="00D97C34">
      <w:pPr>
        <w:pStyle w:val="AIHWbodytext"/>
        <w:numPr>
          <w:ilvl w:val="1"/>
          <w:numId w:val="26"/>
        </w:numPr>
      </w:pPr>
      <w:r w:rsidRPr="00717AAF">
        <w:rPr>
          <w:b/>
          <w:i/>
        </w:rPr>
        <w:lastRenderedPageBreak/>
        <w:t>produce</w:t>
      </w:r>
      <w:r w:rsidRPr="00717AAF">
        <w:t xml:space="preserve"> includes permit access to.</w:t>
      </w:r>
    </w:p>
    <w:p w14:paraId="57C8C7B1" w14:textId="77777777" w:rsidR="002D5DA2" w:rsidRPr="00717AAF" w:rsidRDefault="002D5DA2" w:rsidP="00D97C34">
      <w:pPr>
        <w:pStyle w:val="AIHWbodytext"/>
        <w:numPr>
          <w:ilvl w:val="1"/>
          <w:numId w:val="26"/>
        </w:numPr>
      </w:pPr>
      <w:r w:rsidRPr="00717AAF">
        <w:rPr>
          <w:b/>
          <w:i/>
        </w:rPr>
        <w:t>publication</w:t>
      </w:r>
      <w:r w:rsidRPr="00717AAF">
        <w:t>, in relation to conclusions, statistics or particulars, includes:</w:t>
      </w:r>
    </w:p>
    <w:p w14:paraId="4CA1A7D8" w14:textId="77777777" w:rsidR="002D5DA2" w:rsidRPr="00717AAF" w:rsidRDefault="002D5DA2" w:rsidP="00D97C34">
      <w:pPr>
        <w:pStyle w:val="AIHWbodytext"/>
        <w:numPr>
          <w:ilvl w:val="0"/>
          <w:numId w:val="28"/>
        </w:numPr>
        <w:ind w:left="2342" w:hanging="357"/>
      </w:pPr>
      <w:r w:rsidRPr="00717AAF">
        <w:t>the divulging or communication to a court of the conclusions, statistics or particulars; and</w:t>
      </w:r>
    </w:p>
    <w:p w14:paraId="70B0DB70" w14:textId="77777777" w:rsidR="002D5DA2" w:rsidRPr="00717AAF" w:rsidRDefault="002D5DA2" w:rsidP="00D97C34">
      <w:pPr>
        <w:pStyle w:val="AIHWbodytext"/>
        <w:numPr>
          <w:ilvl w:val="0"/>
          <w:numId w:val="28"/>
        </w:numPr>
        <w:ind w:left="2342" w:hanging="357"/>
      </w:pPr>
      <w:r w:rsidRPr="00717AAF">
        <w:t>the production to a court of a document containing the conclusions, statistics or particulars; and</w:t>
      </w:r>
    </w:p>
    <w:p w14:paraId="4BDF4CF3" w14:textId="77777777" w:rsidR="002D5DA2" w:rsidRPr="00717AAF" w:rsidRDefault="002D5DA2" w:rsidP="00D97C34">
      <w:pPr>
        <w:pStyle w:val="AIHWbodytext"/>
        <w:numPr>
          <w:ilvl w:val="1"/>
          <w:numId w:val="26"/>
        </w:numPr>
      </w:pPr>
      <w:r w:rsidRPr="00717AAF">
        <w:t>a reference to information concerning a person includes:</w:t>
      </w:r>
    </w:p>
    <w:p w14:paraId="5097EA75" w14:textId="77777777" w:rsidR="002D5DA2" w:rsidRPr="00717AAF" w:rsidRDefault="002D5DA2" w:rsidP="00D97C34">
      <w:pPr>
        <w:pStyle w:val="AIHWbodytext"/>
        <w:numPr>
          <w:ilvl w:val="2"/>
          <w:numId w:val="29"/>
        </w:numPr>
        <w:ind w:left="2342" w:hanging="357"/>
      </w:pPr>
      <w:r w:rsidRPr="00717AAF">
        <w:t>a reference to information as to the whereabouts, existence or non</w:t>
      </w:r>
      <w:r w:rsidRPr="00717AAF">
        <w:noBreakHyphen/>
        <w:t>existence of a document concerning a person; and</w:t>
      </w:r>
    </w:p>
    <w:p w14:paraId="6F0A5EB9" w14:textId="77777777" w:rsidR="002D5DA2" w:rsidRDefault="002D5DA2" w:rsidP="00D97C34">
      <w:pPr>
        <w:pStyle w:val="AIHWbodytext"/>
        <w:numPr>
          <w:ilvl w:val="2"/>
          <w:numId w:val="29"/>
        </w:numPr>
        <w:ind w:left="2342" w:hanging="357"/>
      </w:pPr>
      <w:r w:rsidRPr="00717AAF">
        <w:t>a reference to information identifying a person or body providing information concerning a person.</w:t>
      </w:r>
    </w:p>
    <w:p w14:paraId="1277A1F3" w14:textId="54DBCD60" w:rsidR="00F013F5" w:rsidRPr="000C1B05" w:rsidRDefault="00F013F5" w:rsidP="002D5DA2">
      <w:pPr>
        <w:rPr>
          <w:rFonts w:ascii="Arial" w:hAnsi="Arial" w:cs="Arial"/>
        </w:rPr>
      </w:pPr>
    </w:p>
    <w:sectPr w:rsidR="00F013F5" w:rsidRPr="000C1B05" w:rsidSect="002D5DA2">
      <w:headerReference w:type="even" r:id="rId13"/>
      <w:headerReference w:type="default" r:id="rId14"/>
      <w:footerReference w:type="even" r:id="rId15"/>
      <w:footerReference w:type="default" r:id="rId16"/>
      <w:headerReference w:type="first" r:id="rId17"/>
      <w:pgSz w:w="11906" w:h="16838" w:code="9"/>
      <w:pgMar w:top="1418" w:right="1418" w:bottom="1701" w:left="1418" w:header="1134" w:footer="850"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58C7" w14:textId="77777777" w:rsidR="008821F6" w:rsidRDefault="008821F6">
      <w:r>
        <w:separator/>
      </w:r>
    </w:p>
  </w:endnote>
  <w:endnote w:type="continuationSeparator" w:id="0">
    <w:p w14:paraId="47243254" w14:textId="77777777" w:rsidR="008821F6" w:rsidRDefault="0088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1E30" w14:textId="77777777" w:rsidR="00460A29" w:rsidRPr="00244643" w:rsidRDefault="00460A29" w:rsidP="0024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3FAD" w14:textId="77777777" w:rsidR="00460A29" w:rsidRPr="00244643" w:rsidRDefault="00460A29" w:rsidP="0024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37BD" w14:textId="77777777" w:rsidR="008821F6" w:rsidRDefault="008821F6">
      <w:r>
        <w:separator/>
      </w:r>
    </w:p>
  </w:footnote>
  <w:footnote w:type="continuationSeparator" w:id="0">
    <w:p w14:paraId="388A4F62" w14:textId="77777777" w:rsidR="008821F6" w:rsidRDefault="008821F6">
      <w:r>
        <w:continuationSeparator/>
      </w:r>
    </w:p>
  </w:footnote>
  <w:footnote w:type="continuationNotice" w:id="1">
    <w:p w14:paraId="7CC14852" w14:textId="77777777" w:rsidR="008821F6" w:rsidRDefault="008821F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43FC" w14:textId="77777777" w:rsidR="00460A29" w:rsidRDefault="00460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BAA4" w14:textId="77777777" w:rsidR="00460A29" w:rsidRDefault="00460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B089" w14:textId="77777777" w:rsidR="00460A29" w:rsidRDefault="00460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7C79D9"/>
    <w:multiLevelType w:val="hybridMultilevel"/>
    <w:tmpl w:val="CF5A3B5C"/>
    <w:lvl w:ilvl="0" w:tplc="E556AAB6">
      <w:start w:val="1"/>
      <w:numFmt w:val="decimal"/>
      <w:lvlText w:val="(%1)"/>
      <w:lvlJc w:val="left"/>
      <w:pPr>
        <w:ind w:left="720" w:hanging="360"/>
      </w:pPr>
      <w:rPr>
        <w:rFonts w:hint="default"/>
      </w:rPr>
    </w:lvl>
    <w:lvl w:ilvl="1" w:tplc="A89CF300">
      <w:start w:val="1"/>
      <w:numFmt w:val="lowerLetter"/>
      <w:lvlText w:val="(%2)"/>
      <w:lvlJc w:val="left"/>
      <w:pPr>
        <w:ind w:left="1440" w:hanging="360"/>
      </w:pPr>
      <w:rPr>
        <w:rFonts w:hint="default"/>
      </w:rPr>
    </w:lvl>
    <w:lvl w:ilvl="2" w:tplc="F4B67AC4">
      <w:start w:val="1"/>
      <w:numFmt w:val="lowerRoman"/>
      <w:lvlText w:val="(%3) "/>
      <w:lvlJc w:val="left"/>
      <w:pPr>
        <w:ind w:left="2165" w:hanging="180"/>
      </w:pPr>
      <w:rPr>
        <w:rFonts w:hint="default"/>
      </w:rPr>
    </w:lvl>
    <w:lvl w:ilvl="3" w:tplc="C97420E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F359C6"/>
    <w:multiLevelType w:val="hybridMultilevel"/>
    <w:tmpl w:val="D7A8CD00"/>
    <w:lvl w:ilvl="0" w:tplc="0C090015">
      <w:start w:val="1"/>
      <w:numFmt w:val="upperLetter"/>
      <w:lvlText w:val="%1."/>
      <w:lvlJc w:val="left"/>
      <w:pPr>
        <w:ind w:left="720" w:hanging="360"/>
      </w:pPr>
    </w:lvl>
    <w:lvl w:ilvl="1" w:tplc="6E06648E">
      <w:start w:val="1"/>
      <w:numFmt w:val="lowerRoman"/>
      <w:lvlText w:val="(%2)"/>
      <w:lvlJc w:val="left"/>
      <w:pPr>
        <w:ind w:left="1800" w:hanging="720"/>
      </w:pPr>
      <w:rPr>
        <w:rFonts w:hint="default"/>
      </w:rPr>
    </w:lvl>
    <w:lvl w:ilvl="2" w:tplc="E98C300A">
      <w:start w:val="1"/>
      <w:numFmt w:val="lowerRoman"/>
      <w:lvlText w:val="(%3) "/>
      <w:lvlJc w:val="left"/>
      <w:pPr>
        <w:ind w:left="2160" w:hanging="180"/>
      </w:pPr>
      <w:rPr>
        <w:rFonts w:hint="default"/>
      </w:rPr>
    </w:lvl>
    <w:lvl w:ilvl="3" w:tplc="FBB278B8">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18"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A822D5"/>
    <w:multiLevelType w:val="hybridMultilevel"/>
    <w:tmpl w:val="0696253A"/>
    <w:lvl w:ilvl="0" w:tplc="E556AAB6">
      <w:start w:val="1"/>
      <w:numFmt w:val="decimal"/>
      <w:lvlText w:val="(%1)"/>
      <w:lvlJc w:val="left"/>
      <w:pPr>
        <w:ind w:left="720" w:hanging="360"/>
      </w:pPr>
      <w:rPr>
        <w:rFonts w:hint="default"/>
      </w:rPr>
    </w:lvl>
    <w:lvl w:ilvl="1" w:tplc="2F28609C">
      <w:start w:val="1"/>
      <w:numFmt w:val="lowerRoman"/>
      <w:lvlText w:val="(%2)"/>
      <w:lvlJc w:val="right"/>
      <w:pPr>
        <w:ind w:left="1440" w:hanging="360"/>
      </w:pPr>
      <w:rPr>
        <w:rFonts w:hint="default"/>
      </w:rPr>
    </w:lvl>
    <w:lvl w:ilvl="2" w:tplc="E98C300A">
      <w:start w:val="1"/>
      <w:numFmt w:val="lowerRoman"/>
      <w:lvlText w:val="(%3) "/>
      <w:lvlJc w:val="left"/>
      <w:pPr>
        <w:ind w:left="2165"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FE22FC"/>
    <w:multiLevelType w:val="hybridMultilevel"/>
    <w:tmpl w:val="7900527A"/>
    <w:lvl w:ilvl="0" w:tplc="7B24A6A8">
      <w:start w:val="1"/>
      <w:numFmt w:val="upperLetter"/>
      <w:lvlText w:val="%1."/>
      <w:lvlJc w:val="left"/>
      <w:pPr>
        <w:ind w:left="360" w:hanging="360"/>
      </w:pPr>
      <w:rPr>
        <w:b/>
        <w:color w:val="auto"/>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21" w15:restartNumberingAfterBreak="0">
    <w:nsid w:val="557F2589"/>
    <w:multiLevelType w:val="hybridMultilevel"/>
    <w:tmpl w:val="680E3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D22901"/>
    <w:multiLevelType w:val="singleLevel"/>
    <w:tmpl w:val="7CC28710"/>
    <w:lvl w:ilvl="0">
      <w:start w:val="1"/>
      <w:numFmt w:val="decimal"/>
      <w:lvlText w:val="%1."/>
      <w:legacy w:legacy="1" w:legacySpace="0" w:legacyIndent="360"/>
      <w:lvlJc w:val="left"/>
      <w:pPr>
        <w:ind w:left="360" w:hanging="360"/>
      </w:pPr>
    </w:lvl>
  </w:abstractNum>
  <w:abstractNum w:abstractNumId="23"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0305700"/>
    <w:multiLevelType w:val="hybridMultilevel"/>
    <w:tmpl w:val="DF2058F6"/>
    <w:lvl w:ilvl="0" w:tplc="DC380A70">
      <w:start w:val="1"/>
      <w:numFmt w:val="lowerRoman"/>
      <w:lvlText w:val="(%1) "/>
      <w:lvlJc w:val="left"/>
      <w:pPr>
        <w:ind w:left="2160" w:hanging="360"/>
      </w:pPr>
      <w:rPr>
        <w:rFonts w:hint="default"/>
      </w:rPr>
    </w:lvl>
    <w:lvl w:ilvl="1" w:tplc="5DF04F8A">
      <w:start w:val="1"/>
      <w:numFmt w:val="lowerLetter"/>
      <w:lvlText w:val="(%2)"/>
      <w:lvlJc w:val="left"/>
      <w:pPr>
        <w:ind w:left="2910" w:hanging="390"/>
      </w:pPr>
      <w:rPr>
        <w:rFonts w:hint="default"/>
      </w:rPr>
    </w:lvl>
    <w:lvl w:ilvl="2" w:tplc="298A1B50">
      <w:start w:val="1"/>
      <w:numFmt w:val="decimal"/>
      <w:lvlText w:val="%3."/>
      <w:lvlJc w:val="left"/>
      <w:pPr>
        <w:ind w:left="3780" w:hanging="360"/>
      </w:pPr>
      <w:rPr>
        <w:rFonts w:hint="default"/>
      </w:rPr>
    </w:lvl>
    <w:lvl w:ilvl="3" w:tplc="67BCF246">
      <w:start w:val="1"/>
      <w:numFmt w:val="decimal"/>
      <w:lvlText w:val="(%4)"/>
      <w:lvlJc w:val="left"/>
      <w:pPr>
        <w:ind w:left="4365" w:hanging="405"/>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1274B3"/>
    <w:multiLevelType w:val="hybridMultilevel"/>
    <w:tmpl w:val="F71C9E46"/>
    <w:lvl w:ilvl="0" w:tplc="E98C300A">
      <w:start w:val="1"/>
      <w:numFmt w:val="lowerRoman"/>
      <w:lvlText w:val="(%1) "/>
      <w:lvlJc w:val="left"/>
      <w:pPr>
        <w:ind w:left="2165" w:hanging="180"/>
      </w:pPr>
      <w:rPr>
        <w:rFonts w:hint="default"/>
      </w:rPr>
    </w:lvl>
    <w:lvl w:ilvl="1" w:tplc="0C090019">
      <w:start w:val="1"/>
      <w:numFmt w:val="lowerLetter"/>
      <w:lvlText w:val="%2."/>
      <w:lvlJc w:val="left"/>
      <w:pPr>
        <w:ind w:left="1440" w:hanging="360"/>
      </w:pPr>
    </w:lvl>
    <w:lvl w:ilvl="2" w:tplc="E98C300A">
      <w:start w:val="1"/>
      <w:numFmt w:val="lowerRoman"/>
      <w:lvlText w:val="(%3) "/>
      <w:lvlJc w:val="left"/>
      <w:pPr>
        <w:ind w:left="2160" w:hanging="180"/>
      </w:pPr>
      <w:rPr>
        <w:rFonts w:hint="default"/>
      </w:rPr>
    </w:lvl>
    <w:lvl w:ilvl="3" w:tplc="0C09000F">
      <w:start w:val="1"/>
      <w:numFmt w:val="decimal"/>
      <w:lvlText w:val="%4."/>
      <w:lvlJc w:val="left"/>
      <w:pPr>
        <w:ind w:left="2880" w:hanging="360"/>
      </w:pPr>
    </w:lvl>
    <w:lvl w:ilvl="4" w:tplc="C0169618">
      <w:start w:val="1"/>
      <w:numFmt w:val="decimal"/>
      <w:lvlText w:val="(%5)"/>
      <w:lvlJc w:val="left"/>
      <w:pPr>
        <w:ind w:left="3600" w:hanging="360"/>
      </w:pPr>
      <w:rPr>
        <w:rFonts w:hint="default"/>
      </w:rPr>
    </w:lvl>
    <w:lvl w:ilvl="5" w:tplc="D87A436E">
      <w:start w:val="1"/>
      <w:numFmt w:val="lowerLetter"/>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80364E"/>
    <w:multiLevelType w:val="hybridMultilevel"/>
    <w:tmpl w:val="FC7E0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0E10BE"/>
    <w:multiLevelType w:val="hybridMultilevel"/>
    <w:tmpl w:val="9502E4A2"/>
    <w:lvl w:ilvl="0" w:tplc="96C8F95A">
      <w:start w:val="1"/>
      <w:numFmt w:val="upperLetter"/>
      <w:lvlText w:val="(2%1)"/>
      <w:lvlJc w:val="left"/>
      <w:pPr>
        <w:ind w:left="720" w:hanging="360"/>
      </w:pPr>
      <w:rPr>
        <w:rFonts w:hint="default"/>
      </w:rPr>
    </w:lvl>
    <w:lvl w:ilvl="1" w:tplc="1318FE94">
      <w:start w:val="1"/>
      <w:numFmt w:val="lowerRoman"/>
      <w:lvlText w:val="(%2)"/>
      <w:lvlJc w:val="left"/>
      <w:pPr>
        <w:ind w:left="1913" w:hanging="720"/>
      </w:pPr>
      <w:rPr>
        <w:rFonts w:hint="default"/>
      </w:rPr>
    </w:lvl>
    <w:lvl w:ilvl="2" w:tplc="60D4FCD4">
      <w:start w:val="1"/>
      <w:numFmt w:val="lowerLetter"/>
      <w:lvlText w:val="(%3)"/>
      <w:lvlJc w:val="left"/>
      <w:pPr>
        <w:ind w:left="2453" w:hanging="360"/>
      </w:pPr>
      <w:rPr>
        <w:rFonts w:hint="default"/>
      </w:r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9"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num w:numId="1" w16cid:durableId="1423724292">
    <w:abstractNumId w:val="29"/>
  </w:num>
  <w:num w:numId="2" w16cid:durableId="362752672">
    <w:abstractNumId w:val="11"/>
  </w:num>
  <w:num w:numId="3" w16cid:durableId="888806321">
    <w:abstractNumId w:val="23"/>
  </w:num>
  <w:num w:numId="4" w16cid:durableId="256867106">
    <w:abstractNumId w:val="10"/>
  </w:num>
  <w:num w:numId="5" w16cid:durableId="1275669753">
    <w:abstractNumId w:val="9"/>
  </w:num>
  <w:num w:numId="6" w16cid:durableId="1851601861">
    <w:abstractNumId w:val="7"/>
  </w:num>
  <w:num w:numId="7" w16cid:durableId="43069340">
    <w:abstractNumId w:val="6"/>
  </w:num>
  <w:num w:numId="8" w16cid:durableId="749934089">
    <w:abstractNumId w:val="5"/>
  </w:num>
  <w:num w:numId="9" w16cid:durableId="1968537513">
    <w:abstractNumId w:val="4"/>
  </w:num>
  <w:num w:numId="10" w16cid:durableId="1409962346">
    <w:abstractNumId w:val="8"/>
  </w:num>
  <w:num w:numId="11" w16cid:durableId="2143880499">
    <w:abstractNumId w:val="3"/>
  </w:num>
  <w:num w:numId="12" w16cid:durableId="2085567386">
    <w:abstractNumId w:val="2"/>
  </w:num>
  <w:num w:numId="13" w16cid:durableId="875116532">
    <w:abstractNumId w:val="1"/>
  </w:num>
  <w:num w:numId="14" w16cid:durableId="559370685">
    <w:abstractNumId w:val="0"/>
  </w:num>
  <w:num w:numId="15" w16cid:durableId="1482962020">
    <w:abstractNumId w:val="17"/>
  </w:num>
  <w:num w:numId="16" w16cid:durableId="1401094616">
    <w:abstractNumId w:val="18"/>
  </w:num>
  <w:num w:numId="17" w16cid:durableId="154536346">
    <w:abstractNumId w:val="30"/>
  </w:num>
  <w:num w:numId="18" w16cid:durableId="1362168680">
    <w:abstractNumId w:val="14"/>
  </w:num>
  <w:num w:numId="19" w16cid:durableId="1668745852">
    <w:abstractNumId w:val="12"/>
  </w:num>
  <w:num w:numId="20" w16cid:durableId="1724017582">
    <w:abstractNumId w:val="25"/>
  </w:num>
  <w:num w:numId="21" w16cid:durableId="2042125038">
    <w:abstractNumId w:val="16"/>
  </w:num>
  <w:num w:numId="22" w16cid:durableId="662514414">
    <w:abstractNumId w:val="22"/>
  </w:num>
  <w:num w:numId="23" w16cid:durableId="1488283711">
    <w:abstractNumId w:val="20"/>
  </w:num>
  <w:num w:numId="24" w16cid:durableId="1051423406">
    <w:abstractNumId w:val="27"/>
  </w:num>
  <w:num w:numId="25" w16cid:durableId="1421415758">
    <w:abstractNumId w:val="15"/>
  </w:num>
  <w:num w:numId="26" w16cid:durableId="1433210974">
    <w:abstractNumId w:val="13"/>
  </w:num>
  <w:num w:numId="27" w16cid:durableId="1652247200">
    <w:abstractNumId w:val="28"/>
  </w:num>
  <w:num w:numId="28" w16cid:durableId="2086996095">
    <w:abstractNumId w:val="26"/>
  </w:num>
  <w:num w:numId="29" w16cid:durableId="2095348391">
    <w:abstractNumId w:val="19"/>
  </w:num>
  <w:num w:numId="30" w16cid:durableId="937492799">
    <w:abstractNumId w:val="24"/>
  </w:num>
  <w:num w:numId="31" w16cid:durableId="210255669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2D5DA2"/>
    <w:rsid w:val="00003348"/>
    <w:rsid w:val="00006FF9"/>
    <w:rsid w:val="00007251"/>
    <w:rsid w:val="000145AA"/>
    <w:rsid w:val="00017E87"/>
    <w:rsid w:val="00024416"/>
    <w:rsid w:val="0002535E"/>
    <w:rsid w:val="00026EE7"/>
    <w:rsid w:val="0003145D"/>
    <w:rsid w:val="000348FD"/>
    <w:rsid w:val="00036C88"/>
    <w:rsid w:val="0004486C"/>
    <w:rsid w:val="000452C5"/>
    <w:rsid w:val="000516F4"/>
    <w:rsid w:val="000556D8"/>
    <w:rsid w:val="0006006D"/>
    <w:rsid w:val="0006330F"/>
    <w:rsid w:val="0006497C"/>
    <w:rsid w:val="0006751E"/>
    <w:rsid w:val="000714E4"/>
    <w:rsid w:val="000716CF"/>
    <w:rsid w:val="0007172A"/>
    <w:rsid w:val="000725C2"/>
    <w:rsid w:val="00076860"/>
    <w:rsid w:val="0007737D"/>
    <w:rsid w:val="000774D9"/>
    <w:rsid w:val="0008602F"/>
    <w:rsid w:val="00086078"/>
    <w:rsid w:val="00086780"/>
    <w:rsid w:val="00090C7D"/>
    <w:rsid w:val="0009309E"/>
    <w:rsid w:val="000A6F9D"/>
    <w:rsid w:val="000B127C"/>
    <w:rsid w:val="000B2821"/>
    <w:rsid w:val="000B37E4"/>
    <w:rsid w:val="000C1B05"/>
    <w:rsid w:val="000C35EB"/>
    <w:rsid w:val="000C5ACA"/>
    <w:rsid w:val="000C60AC"/>
    <w:rsid w:val="000C60B7"/>
    <w:rsid w:val="000C774B"/>
    <w:rsid w:val="000D6B4F"/>
    <w:rsid w:val="000E3F6C"/>
    <w:rsid w:val="000E3F97"/>
    <w:rsid w:val="000E40F2"/>
    <w:rsid w:val="000E41A7"/>
    <w:rsid w:val="000E783B"/>
    <w:rsid w:val="000F16DB"/>
    <w:rsid w:val="000F4B5D"/>
    <w:rsid w:val="000F6F64"/>
    <w:rsid w:val="0010306A"/>
    <w:rsid w:val="00106294"/>
    <w:rsid w:val="00106C97"/>
    <w:rsid w:val="0011179F"/>
    <w:rsid w:val="00120E80"/>
    <w:rsid w:val="00125BB3"/>
    <w:rsid w:val="00135A1A"/>
    <w:rsid w:val="00137EA2"/>
    <w:rsid w:val="00142B75"/>
    <w:rsid w:val="001447BB"/>
    <w:rsid w:val="00144EFE"/>
    <w:rsid w:val="0015175E"/>
    <w:rsid w:val="001573FD"/>
    <w:rsid w:val="001614C4"/>
    <w:rsid w:val="00161D26"/>
    <w:rsid w:val="00162C7A"/>
    <w:rsid w:val="00163B43"/>
    <w:rsid w:val="0017227B"/>
    <w:rsid w:val="001808BC"/>
    <w:rsid w:val="00180B09"/>
    <w:rsid w:val="0018287D"/>
    <w:rsid w:val="00187C40"/>
    <w:rsid w:val="001928A4"/>
    <w:rsid w:val="001A4DE7"/>
    <w:rsid w:val="001B0A9F"/>
    <w:rsid w:val="001B3CE0"/>
    <w:rsid w:val="001C1AD8"/>
    <w:rsid w:val="001C6C92"/>
    <w:rsid w:val="001C7955"/>
    <w:rsid w:val="001D0359"/>
    <w:rsid w:val="001D05AD"/>
    <w:rsid w:val="001D0D4C"/>
    <w:rsid w:val="001D2462"/>
    <w:rsid w:val="001D24F5"/>
    <w:rsid w:val="001D4301"/>
    <w:rsid w:val="001D5ECD"/>
    <w:rsid w:val="001E04E0"/>
    <w:rsid w:val="001E3FA3"/>
    <w:rsid w:val="001E78D5"/>
    <w:rsid w:val="001F28B2"/>
    <w:rsid w:val="001F488B"/>
    <w:rsid w:val="001F5F41"/>
    <w:rsid w:val="00203FDE"/>
    <w:rsid w:val="00212B9B"/>
    <w:rsid w:val="002154CC"/>
    <w:rsid w:val="002162E6"/>
    <w:rsid w:val="00223307"/>
    <w:rsid w:val="00224CAD"/>
    <w:rsid w:val="00225BC7"/>
    <w:rsid w:val="00225BFE"/>
    <w:rsid w:val="00230BC6"/>
    <w:rsid w:val="00231CD5"/>
    <w:rsid w:val="00243E10"/>
    <w:rsid w:val="00244643"/>
    <w:rsid w:val="002560A4"/>
    <w:rsid w:val="00260634"/>
    <w:rsid w:val="002613B9"/>
    <w:rsid w:val="00261BCF"/>
    <w:rsid w:val="00263946"/>
    <w:rsid w:val="00264BF2"/>
    <w:rsid w:val="00265D6E"/>
    <w:rsid w:val="00265D85"/>
    <w:rsid w:val="00267E86"/>
    <w:rsid w:val="00267EF6"/>
    <w:rsid w:val="002701D8"/>
    <w:rsid w:val="0027331B"/>
    <w:rsid w:val="00275F22"/>
    <w:rsid w:val="00276367"/>
    <w:rsid w:val="00277622"/>
    <w:rsid w:val="00280B94"/>
    <w:rsid w:val="00284112"/>
    <w:rsid w:val="00290F75"/>
    <w:rsid w:val="00291D9C"/>
    <w:rsid w:val="002950F7"/>
    <w:rsid w:val="00297FA1"/>
    <w:rsid w:val="002A0668"/>
    <w:rsid w:val="002A0B92"/>
    <w:rsid w:val="002A621F"/>
    <w:rsid w:val="002B2B6C"/>
    <w:rsid w:val="002B3E26"/>
    <w:rsid w:val="002B4D2D"/>
    <w:rsid w:val="002B52FA"/>
    <w:rsid w:val="002B5845"/>
    <w:rsid w:val="002B78CA"/>
    <w:rsid w:val="002C13F3"/>
    <w:rsid w:val="002C7CB7"/>
    <w:rsid w:val="002D28DE"/>
    <w:rsid w:val="002D5DA2"/>
    <w:rsid w:val="002D6770"/>
    <w:rsid w:val="002D76F5"/>
    <w:rsid w:val="002F221A"/>
    <w:rsid w:val="002F37F6"/>
    <w:rsid w:val="002F4614"/>
    <w:rsid w:val="002F48B1"/>
    <w:rsid w:val="002F48D6"/>
    <w:rsid w:val="00314C48"/>
    <w:rsid w:val="0031627B"/>
    <w:rsid w:val="003164BF"/>
    <w:rsid w:val="0031730D"/>
    <w:rsid w:val="00322772"/>
    <w:rsid w:val="00332D40"/>
    <w:rsid w:val="00333BFF"/>
    <w:rsid w:val="003342B3"/>
    <w:rsid w:val="0033783A"/>
    <w:rsid w:val="003405A7"/>
    <w:rsid w:val="00343BF0"/>
    <w:rsid w:val="00347CBC"/>
    <w:rsid w:val="00350AB8"/>
    <w:rsid w:val="003610FF"/>
    <w:rsid w:val="003621B4"/>
    <w:rsid w:val="0036233A"/>
    <w:rsid w:val="003723A7"/>
    <w:rsid w:val="00374C6B"/>
    <w:rsid w:val="00376170"/>
    <w:rsid w:val="0038101F"/>
    <w:rsid w:val="00384859"/>
    <w:rsid w:val="003A70D1"/>
    <w:rsid w:val="003B637B"/>
    <w:rsid w:val="003C09BF"/>
    <w:rsid w:val="003C3628"/>
    <w:rsid w:val="003C3838"/>
    <w:rsid w:val="003C5769"/>
    <w:rsid w:val="003D4BC3"/>
    <w:rsid w:val="003D6BBA"/>
    <w:rsid w:val="003E10CD"/>
    <w:rsid w:val="003E1F44"/>
    <w:rsid w:val="003E2E53"/>
    <w:rsid w:val="003E420D"/>
    <w:rsid w:val="003E7DAA"/>
    <w:rsid w:val="003F6F1B"/>
    <w:rsid w:val="004018E8"/>
    <w:rsid w:val="00402D9F"/>
    <w:rsid w:val="004042CC"/>
    <w:rsid w:val="00406DAE"/>
    <w:rsid w:val="0040700B"/>
    <w:rsid w:val="00410801"/>
    <w:rsid w:val="00414BAA"/>
    <w:rsid w:val="00423802"/>
    <w:rsid w:val="004264D2"/>
    <w:rsid w:val="00434F86"/>
    <w:rsid w:val="00436E7D"/>
    <w:rsid w:val="00437154"/>
    <w:rsid w:val="00437CDF"/>
    <w:rsid w:val="0044278E"/>
    <w:rsid w:val="00445A8B"/>
    <w:rsid w:val="00445E26"/>
    <w:rsid w:val="0045322A"/>
    <w:rsid w:val="004550C8"/>
    <w:rsid w:val="0045639F"/>
    <w:rsid w:val="00460A29"/>
    <w:rsid w:val="00461420"/>
    <w:rsid w:val="00466888"/>
    <w:rsid w:val="004675DA"/>
    <w:rsid w:val="0047051B"/>
    <w:rsid w:val="004734FE"/>
    <w:rsid w:val="0047458A"/>
    <w:rsid w:val="00476AE1"/>
    <w:rsid w:val="00481A2F"/>
    <w:rsid w:val="00481C2D"/>
    <w:rsid w:val="0048321D"/>
    <w:rsid w:val="00485B51"/>
    <w:rsid w:val="0048747F"/>
    <w:rsid w:val="004920CB"/>
    <w:rsid w:val="00493C5F"/>
    <w:rsid w:val="00494196"/>
    <w:rsid w:val="00494974"/>
    <w:rsid w:val="00495E88"/>
    <w:rsid w:val="004A296E"/>
    <w:rsid w:val="004A40F4"/>
    <w:rsid w:val="004B0D22"/>
    <w:rsid w:val="004B176E"/>
    <w:rsid w:val="004B4393"/>
    <w:rsid w:val="004B4B7B"/>
    <w:rsid w:val="004B59F6"/>
    <w:rsid w:val="004B6FE5"/>
    <w:rsid w:val="004C1055"/>
    <w:rsid w:val="004C444B"/>
    <w:rsid w:val="004C5779"/>
    <w:rsid w:val="004C7203"/>
    <w:rsid w:val="004D0DF8"/>
    <w:rsid w:val="004D66AA"/>
    <w:rsid w:val="004D727D"/>
    <w:rsid w:val="004E0B00"/>
    <w:rsid w:val="004E0FA2"/>
    <w:rsid w:val="004E20AE"/>
    <w:rsid w:val="004E250D"/>
    <w:rsid w:val="004E30EB"/>
    <w:rsid w:val="004F51EE"/>
    <w:rsid w:val="004F5775"/>
    <w:rsid w:val="005008DB"/>
    <w:rsid w:val="0050357C"/>
    <w:rsid w:val="00510344"/>
    <w:rsid w:val="00510616"/>
    <w:rsid w:val="00511620"/>
    <w:rsid w:val="0051472D"/>
    <w:rsid w:val="00524141"/>
    <w:rsid w:val="00524881"/>
    <w:rsid w:val="00526F88"/>
    <w:rsid w:val="0052727E"/>
    <w:rsid w:val="00527553"/>
    <w:rsid w:val="00533D47"/>
    <w:rsid w:val="005344C6"/>
    <w:rsid w:val="00534612"/>
    <w:rsid w:val="00537F49"/>
    <w:rsid w:val="0054348C"/>
    <w:rsid w:val="005501F6"/>
    <w:rsid w:val="005505CD"/>
    <w:rsid w:val="00553DA5"/>
    <w:rsid w:val="0055400F"/>
    <w:rsid w:val="00554A33"/>
    <w:rsid w:val="005550C6"/>
    <w:rsid w:val="00556B8F"/>
    <w:rsid w:val="00563734"/>
    <w:rsid w:val="00567C2C"/>
    <w:rsid w:val="00567CF5"/>
    <w:rsid w:val="0057102D"/>
    <w:rsid w:val="00571977"/>
    <w:rsid w:val="005747E4"/>
    <w:rsid w:val="00576A55"/>
    <w:rsid w:val="00581701"/>
    <w:rsid w:val="00581F7D"/>
    <w:rsid w:val="0058565E"/>
    <w:rsid w:val="00591181"/>
    <w:rsid w:val="00591C25"/>
    <w:rsid w:val="005924B2"/>
    <w:rsid w:val="00596D3B"/>
    <w:rsid w:val="00596E78"/>
    <w:rsid w:val="005A7026"/>
    <w:rsid w:val="005A73FF"/>
    <w:rsid w:val="005B3744"/>
    <w:rsid w:val="005B61F3"/>
    <w:rsid w:val="005C073F"/>
    <w:rsid w:val="005C0850"/>
    <w:rsid w:val="005C5070"/>
    <w:rsid w:val="005D1E5E"/>
    <w:rsid w:val="005D319D"/>
    <w:rsid w:val="005D4ACD"/>
    <w:rsid w:val="005D5274"/>
    <w:rsid w:val="005D5A2D"/>
    <w:rsid w:val="005E3B19"/>
    <w:rsid w:val="005E5A15"/>
    <w:rsid w:val="005E65E8"/>
    <w:rsid w:val="00601134"/>
    <w:rsid w:val="00606746"/>
    <w:rsid w:val="006159A9"/>
    <w:rsid w:val="006167F6"/>
    <w:rsid w:val="00616FD3"/>
    <w:rsid w:val="0062300E"/>
    <w:rsid w:val="00624AD2"/>
    <w:rsid w:val="00630CFD"/>
    <w:rsid w:val="006312CE"/>
    <w:rsid w:val="006345E4"/>
    <w:rsid w:val="00635414"/>
    <w:rsid w:val="00635E0A"/>
    <w:rsid w:val="00636047"/>
    <w:rsid w:val="006376DE"/>
    <w:rsid w:val="0064184B"/>
    <w:rsid w:val="00660014"/>
    <w:rsid w:val="006645D8"/>
    <w:rsid w:val="006678CF"/>
    <w:rsid w:val="00667A4A"/>
    <w:rsid w:val="00672FDB"/>
    <w:rsid w:val="00673729"/>
    <w:rsid w:val="006739C6"/>
    <w:rsid w:val="00675834"/>
    <w:rsid w:val="00677E6A"/>
    <w:rsid w:val="00681D38"/>
    <w:rsid w:val="006830E2"/>
    <w:rsid w:val="00685329"/>
    <w:rsid w:val="00695D95"/>
    <w:rsid w:val="006A16E0"/>
    <w:rsid w:val="006A2A75"/>
    <w:rsid w:val="006A53E6"/>
    <w:rsid w:val="006A653B"/>
    <w:rsid w:val="006A7BF2"/>
    <w:rsid w:val="006B34B7"/>
    <w:rsid w:val="006B3F61"/>
    <w:rsid w:val="006B4284"/>
    <w:rsid w:val="006B4CB8"/>
    <w:rsid w:val="006B5B51"/>
    <w:rsid w:val="006B7411"/>
    <w:rsid w:val="006C59CE"/>
    <w:rsid w:val="006D0C92"/>
    <w:rsid w:val="006D4A12"/>
    <w:rsid w:val="006D5087"/>
    <w:rsid w:val="006D78EE"/>
    <w:rsid w:val="006E4A94"/>
    <w:rsid w:val="006E4B28"/>
    <w:rsid w:val="006E6760"/>
    <w:rsid w:val="006E67A7"/>
    <w:rsid w:val="006F2C13"/>
    <w:rsid w:val="006F365F"/>
    <w:rsid w:val="006F3F72"/>
    <w:rsid w:val="006F5AF6"/>
    <w:rsid w:val="006F67B7"/>
    <w:rsid w:val="00700C3B"/>
    <w:rsid w:val="007030DC"/>
    <w:rsid w:val="00703535"/>
    <w:rsid w:val="0070420B"/>
    <w:rsid w:val="007120AD"/>
    <w:rsid w:val="0072419F"/>
    <w:rsid w:val="007245C2"/>
    <w:rsid w:val="00731DDE"/>
    <w:rsid w:val="00732CC1"/>
    <w:rsid w:val="0073471F"/>
    <w:rsid w:val="007347DF"/>
    <w:rsid w:val="00737D0F"/>
    <w:rsid w:val="007429F2"/>
    <w:rsid w:val="007526D3"/>
    <w:rsid w:val="00770E12"/>
    <w:rsid w:val="007730AC"/>
    <w:rsid w:val="00774FBD"/>
    <w:rsid w:val="0077552C"/>
    <w:rsid w:val="00782498"/>
    <w:rsid w:val="00791AE7"/>
    <w:rsid w:val="00792319"/>
    <w:rsid w:val="007A29BA"/>
    <w:rsid w:val="007A42E9"/>
    <w:rsid w:val="007A6940"/>
    <w:rsid w:val="007B036D"/>
    <w:rsid w:val="007B1240"/>
    <w:rsid w:val="007B34B7"/>
    <w:rsid w:val="007B626C"/>
    <w:rsid w:val="007B76D6"/>
    <w:rsid w:val="007B7B80"/>
    <w:rsid w:val="007C08B5"/>
    <w:rsid w:val="007C26A4"/>
    <w:rsid w:val="007C4043"/>
    <w:rsid w:val="007C4158"/>
    <w:rsid w:val="007C5D5A"/>
    <w:rsid w:val="007C75A1"/>
    <w:rsid w:val="007D0B6A"/>
    <w:rsid w:val="007D269E"/>
    <w:rsid w:val="007D35D9"/>
    <w:rsid w:val="007E5091"/>
    <w:rsid w:val="007E627E"/>
    <w:rsid w:val="007F1D4B"/>
    <w:rsid w:val="00800377"/>
    <w:rsid w:val="00810772"/>
    <w:rsid w:val="00816FFD"/>
    <w:rsid w:val="00822739"/>
    <w:rsid w:val="00822A7E"/>
    <w:rsid w:val="00822B0A"/>
    <w:rsid w:val="00824255"/>
    <w:rsid w:val="00824301"/>
    <w:rsid w:val="00826379"/>
    <w:rsid w:val="008276AD"/>
    <w:rsid w:val="00830464"/>
    <w:rsid w:val="00832BED"/>
    <w:rsid w:val="00840733"/>
    <w:rsid w:val="0084228D"/>
    <w:rsid w:val="008439B1"/>
    <w:rsid w:val="008449EA"/>
    <w:rsid w:val="00847747"/>
    <w:rsid w:val="00847EC4"/>
    <w:rsid w:val="00850CED"/>
    <w:rsid w:val="00855606"/>
    <w:rsid w:val="00855EF5"/>
    <w:rsid w:val="008609A6"/>
    <w:rsid w:val="008623DD"/>
    <w:rsid w:val="0086346C"/>
    <w:rsid w:val="00863D1F"/>
    <w:rsid w:val="008640EF"/>
    <w:rsid w:val="0086491F"/>
    <w:rsid w:val="00872066"/>
    <w:rsid w:val="00872BBA"/>
    <w:rsid w:val="0088194D"/>
    <w:rsid w:val="008821F6"/>
    <w:rsid w:val="00882DBC"/>
    <w:rsid w:val="0088346D"/>
    <w:rsid w:val="008837B0"/>
    <w:rsid w:val="00884885"/>
    <w:rsid w:val="00885502"/>
    <w:rsid w:val="00886170"/>
    <w:rsid w:val="00887365"/>
    <w:rsid w:val="00887469"/>
    <w:rsid w:val="008920BD"/>
    <w:rsid w:val="008A6AD1"/>
    <w:rsid w:val="008B5A60"/>
    <w:rsid w:val="008B6406"/>
    <w:rsid w:val="008C1A68"/>
    <w:rsid w:val="008D044E"/>
    <w:rsid w:val="008D15AB"/>
    <w:rsid w:val="008D2ACC"/>
    <w:rsid w:val="008D45C6"/>
    <w:rsid w:val="008E534C"/>
    <w:rsid w:val="008E579B"/>
    <w:rsid w:val="008F12BB"/>
    <w:rsid w:val="008F3405"/>
    <w:rsid w:val="008F7A00"/>
    <w:rsid w:val="00900037"/>
    <w:rsid w:val="00902A3C"/>
    <w:rsid w:val="00903DEC"/>
    <w:rsid w:val="00912515"/>
    <w:rsid w:val="00915102"/>
    <w:rsid w:val="0091651A"/>
    <w:rsid w:val="0092010A"/>
    <w:rsid w:val="00922B37"/>
    <w:rsid w:val="00924163"/>
    <w:rsid w:val="00925B61"/>
    <w:rsid w:val="00925C3E"/>
    <w:rsid w:val="00930520"/>
    <w:rsid w:val="00933579"/>
    <w:rsid w:val="0094670A"/>
    <w:rsid w:val="00952747"/>
    <w:rsid w:val="00953F15"/>
    <w:rsid w:val="00957421"/>
    <w:rsid w:val="00962872"/>
    <w:rsid w:val="009634A5"/>
    <w:rsid w:val="00963773"/>
    <w:rsid w:val="0096503C"/>
    <w:rsid w:val="00966390"/>
    <w:rsid w:val="009667FA"/>
    <w:rsid w:val="00972BBC"/>
    <w:rsid w:val="009754C2"/>
    <w:rsid w:val="009776B8"/>
    <w:rsid w:val="00981CC8"/>
    <w:rsid w:val="00981EDC"/>
    <w:rsid w:val="00983976"/>
    <w:rsid w:val="009850DF"/>
    <w:rsid w:val="0098660E"/>
    <w:rsid w:val="00987A8F"/>
    <w:rsid w:val="00991157"/>
    <w:rsid w:val="00991CE8"/>
    <w:rsid w:val="009921E5"/>
    <w:rsid w:val="00993976"/>
    <w:rsid w:val="009A17BE"/>
    <w:rsid w:val="009A4751"/>
    <w:rsid w:val="009B1C5F"/>
    <w:rsid w:val="009B2765"/>
    <w:rsid w:val="009B6469"/>
    <w:rsid w:val="009C46E6"/>
    <w:rsid w:val="009D05B0"/>
    <w:rsid w:val="009D2AC1"/>
    <w:rsid w:val="009D3E0A"/>
    <w:rsid w:val="009D55D7"/>
    <w:rsid w:val="009D7635"/>
    <w:rsid w:val="009E08C6"/>
    <w:rsid w:val="009E13B7"/>
    <w:rsid w:val="009E38EF"/>
    <w:rsid w:val="00A04C15"/>
    <w:rsid w:val="00A11FC1"/>
    <w:rsid w:val="00A13322"/>
    <w:rsid w:val="00A16446"/>
    <w:rsid w:val="00A2046C"/>
    <w:rsid w:val="00A22385"/>
    <w:rsid w:val="00A26053"/>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61CA6"/>
    <w:rsid w:val="00A62DF5"/>
    <w:rsid w:val="00A63B1E"/>
    <w:rsid w:val="00A66CCF"/>
    <w:rsid w:val="00A70BB9"/>
    <w:rsid w:val="00A71CA8"/>
    <w:rsid w:val="00A77CDD"/>
    <w:rsid w:val="00A80B02"/>
    <w:rsid w:val="00A82FB8"/>
    <w:rsid w:val="00A851EC"/>
    <w:rsid w:val="00A913C5"/>
    <w:rsid w:val="00A9206D"/>
    <w:rsid w:val="00A92BD6"/>
    <w:rsid w:val="00A94F6E"/>
    <w:rsid w:val="00AA00B1"/>
    <w:rsid w:val="00AA2F1E"/>
    <w:rsid w:val="00AA343C"/>
    <w:rsid w:val="00AA44DB"/>
    <w:rsid w:val="00AB179F"/>
    <w:rsid w:val="00AB45A2"/>
    <w:rsid w:val="00AC19F5"/>
    <w:rsid w:val="00AC1B67"/>
    <w:rsid w:val="00AC2CF9"/>
    <w:rsid w:val="00AC5E44"/>
    <w:rsid w:val="00AC65F1"/>
    <w:rsid w:val="00AD044E"/>
    <w:rsid w:val="00AD18D2"/>
    <w:rsid w:val="00AD7CD9"/>
    <w:rsid w:val="00AE1847"/>
    <w:rsid w:val="00AF1190"/>
    <w:rsid w:val="00AF157F"/>
    <w:rsid w:val="00AF1EFD"/>
    <w:rsid w:val="00AF2165"/>
    <w:rsid w:val="00AF47D6"/>
    <w:rsid w:val="00B07417"/>
    <w:rsid w:val="00B07A34"/>
    <w:rsid w:val="00B1358F"/>
    <w:rsid w:val="00B13FA8"/>
    <w:rsid w:val="00B14E4C"/>
    <w:rsid w:val="00B14F74"/>
    <w:rsid w:val="00B22086"/>
    <w:rsid w:val="00B22AE8"/>
    <w:rsid w:val="00B25354"/>
    <w:rsid w:val="00B2640B"/>
    <w:rsid w:val="00B267BA"/>
    <w:rsid w:val="00B321FB"/>
    <w:rsid w:val="00B3253A"/>
    <w:rsid w:val="00B34153"/>
    <w:rsid w:val="00B35CA5"/>
    <w:rsid w:val="00B61BE0"/>
    <w:rsid w:val="00B63AF9"/>
    <w:rsid w:val="00B748EC"/>
    <w:rsid w:val="00B74E30"/>
    <w:rsid w:val="00B82043"/>
    <w:rsid w:val="00B85B20"/>
    <w:rsid w:val="00B85D89"/>
    <w:rsid w:val="00B92B07"/>
    <w:rsid w:val="00BB0645"/>
    <w:rsid w:val="00BB0FA7"/>
    <w:rsid w:val="00BB21C4"/>
    <w:rsid w:val="00BB3576"/>
    <w:rsid w:val="00BB3A21"/>
    <w:rsid w:val="00BB54A1"/>
    <w:rsid w:val="00BC3DD5"/>
    <w:rsid w:val="00BC55DF"/>
    <w:rsid w:val="00BC6785"/>
    <w:rsid w:val="00BD0686"/>
    <w:rsid w:val="00BD3122"/>
    <w:rsid w:val="00BD69B2"/>
    <w:rsid w:val="00BE19E3"/>
    <w:rsid w:val="00BE3758"/>
    <w:rsid w:val="00BE40E7"/>
    <w:rsid w:val="00BE6005"/>
    <w:rsid w:val="00BE7187"/>
    <w:rsid w:val="00BF3D6A"/>
    <w:rsid w:val="00BF6CF5"/>
    <w:rsid w:val="00C00A5C"/>
    <w:rsid w:val="00C032DB"/>
    <w:rsid w:val="00C03D96"/>
    <w:rsid w:val="00C0481E"/>
    <w:rsid w:val="00C127E1"/>
    <w:rsid w:val="00C140FA"/>
    <w:rsid w:val="00C1523B"/>
    <w:rsid w:val="00C15A7A"/>
    <w:rsid w:val="00C20604"/>
    <w:rsid w:val="00C2237E"/>
    <w:rsid w:val="00C24294"/>
    <w:rsid w:val="00C259B5"/>
    <w:rsid w:val="00C30343"/>
    <w:rsid w:val="00C30617"/>
    <w:rsid w:val="00C33E6B"/>
    <w:rsid w:val="00C42A4F"/>
    <w:rsid w:val="00C44F91"/>
    <w:rsid w:val="00C45199"/>
    <w:rsid w:val="00C46B49"/>
    <w:rsid w:val="00C538B4"/>
    <w:rsid w:val="00C63B3B"/>
    <w:rsid w:val="00C72536"/>
    <w:rsid w:val="00C75196"/>
    <w:rsid w:val="00C80C93"/>
    <w:rsid w:val="00C82402"/>
    <w:rsid w:val="00C8335A"/>
    <w:rsid w:val="00C85F6F"/>
    <w:rsid w:val="00C86B06"/>
    <w:rsid w:val="00C911D7"/>
    <w:rsid w:val="00C946B6"/>
    <w:rsid w:val="00C96295"/>
    <w:rsid w:val="00CB205F"/>
    <w:rsid w:val="00CB296A"/>
    <w:rsid w:val="00CB5C09"/>
    <w:rsid w:val="00CB6D91"/>
    <w:rsid w:val="00CC084E"/>
    <w:rsid w:val="00CC0861"/>
    <w:rsid w:val="00CC1B0D"/>
    <w:rsid w:val="00CD72FB"/>
    <w:rsid w:val="00CD777B"/>
    <w:rsid w:val="00CE0143"/>
    <w:rsid w:val="00CE4E3E"/>
    <w:rsid w:val="00CE566B"/>
    <w:rsid w:val="00CE5B9F"/>
    <w:rsid w:val="00CE7641"/>
    <w:rsid w:val="00CF293D"/>
    <w:rsid w:val="00CF45AD"/>
    <w:rsid w:val="00CF55E3"/>
    <w:rsid w:val="00CF7A64"/>
    <w:rsid w:val="00D01233"/>
    <w:rsid w:val="00D021E4"/>
    <w:rsid w:val="00D03185"/>
    <w:rsid w:val="00D161B3"/>
    <w:rsid w:val="00D23BEE"/>
    <w:rsid w:val="00D27CEC"/>
    <w:rsid w:val="00D307E8"/>
    <w:rsid w:val="00D30F75"/>
    <w:rsid w:val="00D41476"/>
    <w:rsid w:val="00D41DBB"/>
    <w:rsid w:val="00D4269A"/>
    <w:rsid w:val="00D51085"/>
    <w:rsid w:val="00D5455A"/>
    <w:rsid w:val="00D55595"/>
    <w:rsid w:val="00D61995"/>
    <w:rsid w:val="00D62185"/>
    <w:rsid w:val="00D63A75"/>
    <w:rsid w:val="00D71F50"/>
    <w:rsid w:val="00D72783"/>
    <w:rsid w:val="00D7328E"/>
    <w:rsid w:val="00D7798B"/>
    <w:rsid w:val="00D80465"/>
    <w:rsid w:val="00D84D47"/>
    <w:rsid w:val="00D8561D"/>
    <w:rsid w:val="00D863E6"/>
    <w:rsid w:val="00D97C34"/>
    <w:rsid w:val="00DA43C9"/>
    <w:rsid w:val="00DA7E6E"/>
    <w:rsid w:val="00DB5333"/>
    <w:rsid w:val="00DB645A"/>
    <w:rsid w:val="00DC78FB"/>
    <w:rsid w:val="00DD4F3C"/>
    <w:rsid w:val="00DE5AE9"/>
    <w:rsid w:val="00DF2472"/>
    <w:rsid w:val="00DF59C8"/>
    <w:rsid w:val="00DF6579"/>
    <w:rsid w:val="00E03F2F"/>
    <w:rsid w:val="00E06D9C"/>
    <w:rsid w:val="00E10B03"/>
    <w:rsid w:val="00E147C7"/>
    <w:rsid w:val="00E1544B"/>
    <w:rsid w:val="00E15A87"/>
    <w:rsid w:val="00E21BBA"/>
    <w:rsid w:val="00E22DC5"/>
    <w:rsid w:val="00E25101"/>
    <w:rsid w:val="00E26835"/>
    <w:rsid w:val="00E301F8"/>
    <w:rsid w:val="00E32587"/>
    <w:rsid w:val="00E3784F"/>
    <w:rsid w:val="00E44983"/>
    <w:rsid w:val="00E506CC"/>
    <w:rsid w:val="00E50969"/>
    <w:rsid w:val="00E52E01"/>
    <w:rsid w:val="00E5610E"/>
    <w:rsid w:val="00E600B1"/>
    <w:rsid w:val="00E67CDF"/>
    <w:rsid w:val="00E74DBD"/>
    <w:rsid w:val="00E76D07"/>
    <w:rsid w:val="00E8107E"/>
    <w:rsid w:val="00E909A5"/>
    <w:rsid w:val="00EA2676"/>
    <w:rsid w:val="00EA5C10"/>
    <w:rsid w:val="00EA6343"/>
    <w:rsid w:val="00EA6E46"/>
    <w:rsid w:val="00EA7BC0"/>
    <w:rsid w:val="00EB0B93"/>
    <w:rsid w:val="00EB1034"/>
    <w:rsid w:val="00EB453A"/>
    <w:rsid w:val="00EB5E15"/>
    <w:rsid w:val="00EC2E34"/>
    <w:rsid w:val="00EC3332"/>
    <w:rsid w:val="00ED7678"/>
    <w:rsid w:val="00EE06C6"/>
    <w:rsid w:val="00EE154D"/>
    <w:rsid w:val="00EE1692"/>
    <w:rsid w:val="00EE28CF"/>
    <w:rsid w:val="00EE6807"/>
    <w:rsid w:val="00EF0399"/>
    <w:rsid w:val="00EF0E1E"/>
    <w:rsid w:val="00EF0EB8"/>
    <w:rsid w:val="00F013F5"/>
    <w:rsid w:val="00F02C52"/>
    <w:rsid w:val="00F15ABF"/>
    <w:rsid w:val="00F21190"/>
    <w:rsid w:val="00F269A8"/>
    <w:rsid w:val="00F308C0"/>
    <w:rsid w:val="00F35DF1"/>
    <w:rsid w:val="00F374CB"/>
    <w:rsid w:val="00F45C08"/>
    <w:rsid w:val="00F5171B"/>
    <w:rsid w:val="00F5619A"/>
    <w:rsid w:val="00F57758"/>
    <w:rsid w:val="00F61D5A"/>
    <w:rsid w:val="00F71CFA"/>
    <w:rsid w:val="00F72FB9"/>
    <w:rsid w:val="00F839E3"/>
    <w:rsid w:val="00F84941"/>
    <w:rsid w:val="00F85F48"/>
    <w:rsid w:val="00F919A0"/>
    <w:rsid w:val="00F9443B"/>
    <w:rsid w:val="00FA1B52"/>
    <w:rsid w:val="00FA3A9B"/>
    <w:rsid w:val="00FA3E15"/>
    <w:rsid w:val="00FA5FD2"/>
    <w:rsid w:val="00FC44AA"/>
    <w:rsid w:val="00FC4ABC"/>
    <w:rsid w:val="00FC5F5C"/>
    <w:rsid w:val="00FD04ED"/>
    <w:rsid w:val="00FD2EF4"/>
    <w:rsid w:val="00FD3416"/>
    <w:rsid w:val="00FE042C"/>
    <w:rsid w:val="00FE0E37"/>
    <w:rsid w:val="00FE15B2"/>
    <w:rsid w:val="00FE25A6"/>
    <w:rsid w:val="00FE2EAF"/>
    <w:rsid w:val="00FE5486"/>
    <w:rsid w:val="00FE6A34"/>
    <w:rsid w:val="00FF1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795B1"/>
  <w15:chartTrackingRefBased/>
  <w15:docId w15:val="{A38314A3-AB74-48C7-872A-5D9B24EB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DA2"/>
    <w:rPr>
      <w:rFonts w:eastAsiaTheme="minorEastAsia"/>
    </w:rPr>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uiPriority w:val="2"/>
    <w:qFormat/>
    <w:rsid w:val="00D51085"/>
    <w:pPr>
      <w:numPr>
        <w:numId w:val="21"/>
      </w:numPr>
      <w:tabs>
        <w:tab w:val="clear" w:pos="397"/>
        <w:tab w:val="num" w:pos="426"/>
      </w:tabs>
      <w:spacing w:before="40" w:after="80"/>
      <w:ind w:left="426" w:hanging="426"/>
    </w:pPr>
  </w:style>
  <w:style w:type="paragraph" w:customStyle="1" w:styleId="Bullet2">
    <w:name w:val="Bullet 2"/>
    <w:basedOn w:val="Bullet1"/>
    <w:uiPriority w:val="2"/>
    <w:qFormat/>
    <w:rsid w:val="00D51085"/>
    <w:pPr>
      <w:numPr>
        <w:numId w:val="1"/>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1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semiHidden/>
    <w:rsid w:val="004734FE"/>
    <w:rPr>
      <w:dstrike w:val="0"/>
      <w:vertAlign w:val="superscript"/>
    </w:rPr>
  </w:style>
  <w:style w:type="paragraph" w:styleId="FootnoteText">
    <w:name w:val="footnote text"/>
    <w:basedOn w:val="AIHWbodytext"/>
    <w:semiHidden/>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17"/>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18"/>
      </w:numPr>
      <w:ind w:left="284" w:hanging="284"/>
    </w:pPr>
  </w:style>
  <w:style w:type="paragraph" w:customStyle="1" w:styleId="TableNotesnumbered">
    <w:name w:val="Table: Notes numbered"/>
    <w:basedOn w:val="TableSourcefootnotes"/>
    <w:rsid w:val="005550C6"/>
    <w:pPr>
      <w:numPr>
        <w:numId w:val="19"/>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rsid w:val="00BB3576"/>
    <w:pPr>
      <w:keepNext/>
      <w:keepLines/>
      <w:tabs>
        <w:tab w:val="left" w:pos="426"/>
        <w:tab w:val="right" w:leader="dot" w:pos="9072"/>
      </w:tabs>
      <w:spacing w:before="80"/>
      <w:ind w:left="426" w:hanging="426"/>
    </w:pPr>
    <w:rPr>
      <w:b/>
    </w:rPr>
  </w:style>
  <w:style w:type="paragraph" w:styleId="TOC2">
    <w:name w:val="toc 2"/>
    <w:basedOn w:val="TOC1"/>
    <w:uiPriority w:val="39"/>
    <w:unhideWhenUsed/>
    <w:rsid w:val="00BB3576"/>
    <w:pPr>
      <w:tabs>
        <w:tab w:val="left" w:pos="794"/>
      </w:tabs>
      <w:spacing w:before="40"/>
      <w:ind w:left="794" w:hanging="368"/>
    </w:pPr>
    <w:rPr>
      <w:b w:val="0"/>
    </w:rPr>
  </w:style>
  <w:style w:type="paragraph" w:styleId="TOC3">
    <w:name w:val="toc 3"/>
    <w:basedOn w:val="TOC2"/>
    <w:uiPriority w:val="3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2"/>
      </w:numPr>
    </w:pPr>
  </w:style>
  <w:style w:type="numbering" w:styleId="1ai">
    <w:name w:val="Outline List 1"/>
    <w:basedOn w:val="NoList"/>
    <w:semiHidden/>
    <w:rsid w:val="003B637B"/>
    <w:pPr>
      <w:numPr>
        <w:numId w:val="3"/>
      </w:numPr>
    </w:pPr>
  </w:style>
  <w:style w:type="numbering" w:styleId="ArticleSection">
    <w:name w:val="Outline List 3"/>
    <w:basedOn w:val="NoList"/>
    <w:semiHidden/>
    <w:rsid w:val="003B637B"/>
    <w:pPr>
      <w:numPr>
        <w:numId w:val="4"/>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16"/>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semiHidden/>
    <w:rsid w:val="008623DD"/>
    <w:pPr>
      <w:tabs>
        <w:tab w:val="center" w:pos="4153"/>
        <w:tab w:val="right" w:pos="8306"/>
      </w:tabs>
      <w:jc w:val="center"/>
    </w:pPr>
    <w:rPr>
      <w:rFonts w:ascii="Arial" w:hAnsi="Arial"/>
      <w:sz w:val="20"/>
      <w:szCs w:val="20"/>
      <w:lang w:eastAsia="en-US"/>
    </w:rPr>
  </w:style>
  <w:style w:type="paragraph" w:styleId="Header">
    <w:name w:val="header"/>
    <w:basedOn w:val="Normal"/>
    <w:semiHidden/>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5"/>
      </w:numPr>
    </w:pPr>
  </w:style>
  <w:style w:type="paragraph" w:styleId="ListBullet2">
    <w:name w:val="List Bullet 2"/>
    <w:basedOn w:val="Normal"/>
    <w:semiHidden/>
    <w:rsid w:val="003B637B"/>
    <w:pPr>
      <w:numPr>
        <w:numId w:val="6"/>
      </w:numPr>
    </w:pPr>
  </w:style>
  <w:style w:type="paragraph" w:styleId="ListBullet3">
    <w:name w:val="List Bullet 3"/>
    <w:basedOn w:val="Normal"/>
    <w:semiHidden/>
    <w:rsid w:val="003B637B"/>
    <w:pPr>
      <w:numPr>
        <w:numId w:val="7"/>
      </w:numPr>
    </w:pPr>
  </w:style>
  <w:style w:type="paragraph" w:styleId="ListBullet4">
    <w:name w:val="List Bullet 4"/>
    <w:basedOn w:val="Normal"/>
    <w:semiHidden/>
    <w:rsid w:val="003B637B"/>
    <w:pPr>
      <w:numPr>
        <w:numId w:val="8"/>
      </w:numPr>
    </w:pPr>
  </w:style>
  <w:style w:type="paragraph" w:styleId="ListBullet5">
    <w:name w:val="List Bullet 5"/>
    <w:basedOn w:val="Normal"/>
    <w:semiHidden/>
    <w:rsid w:val="003B637B"/>
    <w:pPr>
      <w:numPr>
        <w:numId w:val="9"/>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0"/>
      </w:numPr>
    </w:pPr>
  </w:style>
  <w:style w:type="paragraph" w:styleId="ListNumber2">
    <w:name w:val="List Number 2"/>
    <w:basedOn w:val="Normal"/>
    <w:semiHidden/>
    <w:rsid w:val="003B637B"/>
    <w:pPr>
      <w:numPr>
        <w:numId w:val="11"/>
      </w:numPr>
    </w:pPr>
  </w:style>
  <w:style w:type="paragraph" w:styleId="ListNumber3">
    <w:name w:val="List Number 3"/>
    <w:basedOn w:val="Normal"/>
    <w:semiHidden/>
    <w:rsid w:val="003B637B"/>
    <w:pPr>
      <w:numPr>
        <w:numId w:val="12"/>
      </w:numPr>
    </w:pPr>
  </w:style>
  <w:style w:type="paragraph" w:styleId="ListNumber4">
    <w:name w:val="List Number 4"/>
    <w:basedOn w:val="Normal"/>
    <w:semiHidden/>
    <w:rsid w:val="003B637B"/>
    <w:pPr>
      <w:numPr>
        <w:numId w:val="13"/>
      </w:numPr>
    </w:pPr>
  </w:style>
  <w:style w:type="paragraph" w:styleId="ListNumber5">
    <w:name w:val="List Number 5"/>
    <w:basedOn w:val="Normal"/>
    <w:semiHidden/>
    <w:rsid w:val="003B637B"/>
    <w:pPr>
      <w:numPr>
        <w:numId w:val="14"/>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086780"/>
    <w:rPr>
      <w:rFonts w:ascii="Arial" w:hAnsi="Arial"/>
      <w:b/>
      <w:color w:val="000000"/>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semiHidden/>
    <w:rsid w:val="00BC3DD5"/>
    <w:rPr>
      <w:sz w:val="20"/>
      <w:szCs w:val="20"/>
    </w:rPr>
  </w:style>
  <w:style w:type="character" w:customStyle="1" w:styleId="CommentTextChar">
    <w:name w:val="Comment Text Char"/>
    <w:link w:val="CommentText"/>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szCs w:val="20"/>
      <w:lang w:eastAsia="en-US"/>
    </w:rPr>
  </w:style>
  <w:style w:type="paragraph" w:customStyle="1" w:styleId="Glossarydefinition">
    <w:name w:val="Glossary definition"/>
    <w:basedOn w:val="Normal"/>
    <w:link w:val="GlossarydefinitionChar"/>
    <w:uiPriority w:val="7"/>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semiHidden/>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eastAsiaTheme="minorEastAsia"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20"/>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semiHidden/>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styleId="Title">
    <w:name w:val="Title"/>
    <w:basedOn w:val="Normal"/>
    <w:next w:val="Normal"/>
    <w:link w:val="TitleChar"/>
    <w:semiHidden/>
    <w:qFormat/>
    <w:rsid w:val="002D5DA2"/>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D5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2D5D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2D5D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2D5DA2"/>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2D5DA2"/>
    <w:rPr>
      <w:i/>
      <w:iCs/>
      <w:color w:val="404040" w:themeColor="text1" w:themeTint="BF"/>
    </w:rPr>
  </w:style>
  <w:style w:type="paragraph" w:styleId="ListParagraph">
    <w:name w:val="List Paragraph"/>
    <w:aliases w:val="Recommendation,List Paragraph1,L,List Paragraph11,NFP GP Bulleted List,FooterText,numbered,Paragraphe de liste1,Bulletr List Paragraph,列出段落,列出段落1,List Paragraph2,List Paragraph21,Listeafsnit1,Parágrafo da Lista1,Párrafo de lista1,リスト段落1"/>
    <w:basedOn w:val="Normal"/>
    <w:link w:val="ListParagraphChar"/>
    <w:uiPriority w:val="34"/>
    <w:qFormat/>
    <w:rsid w:val="002D5DA2"/>
    <w:pPr>
      <w:ind w:left="720"/>
      <w:contextualSpacing/>
    </w:pPr>
  </w:style>
  <w:style w:type="character" w:styleId="IntenseEmphasis">
    <w:name w:val="Intense Emphasis"/>
    <w:basedOn w:val="DefaultParagraphFont"/>
    <w:uiPriority w:val="21"/>
    <w:semiHidden/>
    <w:qFormat/>
    <w:rsid w:val="002D5DA2"/>
    <w:rPr>
      <w:i/>
      <w:iCs/>
      <w:color w:val="365F91" w:themeColor="accent1" w:themeShade="BF"/>
    </w:rPr>
  </w:style>
  <w:style w:type="paragraph" w:styleId="IntenseQuote">
    <w:name w:val="Intense Quote"/>
    <w:basedOn w:val="Normal"/>
    <w:next w:val="Normal"/>
    <w:link w:val="IntenseQuoteChar"/>
    <w:uiPriority w:val="30"/>
    <w:semiHidden/>
    <w:qFormat/>
    <w:rsid w:val="002D5D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2D5DA2"/>
    <w:rPr>
      <w:i/>
      <w:iCs/>
      <w:color w:val="365F91" w:themeColor="accent1" w:themeShade="BF"/>
    </w:rPr>
  </w:style>
  <w:style w:type="character" w:styleId="IntenseReference">
    <w:name w:val="Intense Reference"/>
    <w:basedOn w:val="DefaultParagraphFont"/>
    <w:uiPriority w:val="32"/>
    <w:semiHidden/>
    <w:qFormat/>
    <w:rsid w:val="002D5DA2"/>
    <w:rPr>
      <w:b/>
      <w:bCs/>
      <w:smallCaps/>
      <w:color w:val="365F91" w:themeColor="accent1" w:themeShade="BF"/>
      <w:spacing w:val="5"/>
    </w:rPr>
  </w:style>
  <w:style w:type="character" w:customStyle="1" w:styleId="ListParagraphChar">
    <w:name w:val="List Paragraph Char"/>
    <w:aliases w:val="Recommendation Char,List Paragraph1 Char,L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qFormat/>
    <w:rsid w:val="002D5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law.gov.au/Series/C2004A0371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259201DDF84D4DA462EE6632DE1A3F" ma:contentTypeVersion="0" ma:contentTypeDescription="Create a new document." ma:contentTypeScope="" ma:versionID="ac64f206c524c5a14714701f9a227a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2.xml><?xml version="1.0" encoding="utf-8"?>
<ds:datastoreItem xmlns:ds="http://schemas.openxmlformats.org/officeDocument/2006/customXml" ds:itemID="{9B366B68-330A-4C78-887A-814EC42889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FA5C5F8-C34F-4A62-BDFE-16D237A4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1107</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AIHW Publication Template—November 2015</vt:lpstr>
    </vt:vector>
  </TitlesOfParts>
  <Company>AIHW</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NHDH Attachment 2: AIHW Confidentiality undertaking</dc:title>
  <dc:subject/>
  <cp:keywords/>
  <dc:description/>
  <cp:revision>3</cp:revision>
  <cp:lastPrinted>2017-06-27T23:39:00Z</cp:lastPrinted>
  <dcterms:created xsi:type="dcterms:W3CDTF">2025-06-12T03:56:00Z</dcterms:created>
  <dcterms:modified xsi:type="dcterms:W3CDTF">2025-06-12T23:36:00Z</dcterms:modified>
</cp:coreProperties>
</file>